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F7554" w14:textId="77777777" w:rsidR="000A3813" w:rsidRDefault="000A3813" w:rsidP="00D55BA3">
      <w:pPr>
        <w:widowControl w:val="0"/>
        <w:autoSpaceDE w:val="0"/>
        <w:autoSpaceDN w:val="0"/>
        <w:adjustRightInd w:val="0"/>
        <w:spacing w:after="0" w:line="360" w:lineRule="auto"/>
        <w:jc w:val="both"/>
        <w:rPr>
          <w:rFonts w:ascii="Times New Roman" w:hAnsi="Times New Roman" w:cs="Times New Roman"/>
          <w:b/>
          <w:bCs/>
          <w:sz w:val="28"/>
          <w:szCs w:val="28"/>
          <w:lang w:val="pt-PT"/>
        </w:rPr>
      </w:pP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8"/>
          <w:szCs w:val="28"/>
          <w:lang w:val="pt-PT"/>
        </w:rPr>
        <w:t>SAÚDE BUCAL E QUALIDADE DE VIDA</w:t>
      </w:r>
    </w:p>
    <w:p w14:paraId="710508CE" w14:textId="77777777" w:rsidR="000A3813" w:rsidRPr="00D55BA3" w:rsidRDefault="00B70F98" w:rsidP="00D55BA3">
      <w:pPr>
        <w:widowControl w:val="0"/>
        <w:autoSpaceDE w:val="0"/>
        <w:autoSpaceDN w:val="0"/>
        <w:adjustRightInd w:val="0"/>
        <w:spacing w:after="0" w:line="360" w:lineRule="auto"/>
        <w:rPr>
          <w:rFonts w:ascii="Times New Roman" w:hAnsi="Times New Roman" w:cs="Times New Roman"/>
          <w:bCs/>
          <w:sz w:val="28"/>
          <w:szCs w:val="28"/>
          <w:lang w:val="pt-PT"/>
        </w:rPr>
      </w:pPr>
      <w:r>
        <w:rPr>
          <w:rFonts w:ascii="Times New Roman" w:hAnsi="Times New Roman" w:cs="Times New Roman"/>
          <w:bCs/>
          <w:sz w:val="28"/>
          <w:szCs w:val="28"/>
          <w:lang w:val="pt-PT"/>
        </w:rPr>
        <w:t xml:space="preserve">                      </w:t>
      </w:r>
      <w:r w:rsidR="000A3813" w:rsidRPr="000A3813">
        <w:rPr>
          <w:rFonts w:ascii="Times New Roman" w:hAnsi="Times New Roman" w:cs="Times New Roman"/>
          <w:bCs/>
          <w:sz w:val="28"/>
          <w:szCs w:val="28"/>
          <w:lang w:val="pt-PT"/>
        </w:rPr>
        <w:t>ORAL HEALTH AND QUALITY OF LIFE</w:t>
      </w:r>
    </w:p>
    <w:p w14:paraId="692FB940" w14:textId="77777777" w:rsidR="00B70FD3" w:rsidRDefault="00B70FD3" w:rsidP="00D55BA3">
      <w:pPr>
        <w:widowControl w:val="0"/>
        <w:autoSpaceDE w:val="0"/>
        <w:autoSpaceDN w:val="0"/>
        <w:adjustRightInd w:val="0"/>
        <w:spacing w:after="0" w:line="240" w:lineRule="auto"/>
        <w:jc w:val="right"/>
        <w:rPr>
          <w:rFonts w:ascii="Times New Roman" w:hAnsi="Times New Roman" w:cs="Times New Roman"/>
          <w:sz w:val="24"/>
          <w:szCs w:val="24"/>
          <w:lang w:val="pt-PT"/>
        </w:rPr>
      </w:pP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t xml:space="preserve">                         </w:t>
      </w:r>
      <w:r>
        <w:rPr>
          <w:rFonts w:ascii="Times New Roman" w:hAnsi="Times New Roman" w:cs="Times New Roman"/>
          <w:sz w:val="24"/>
          <w:szCs w:val="24"/>
          <w:lang w:val="pt-PT"/>
        </w:rPr>
        <w:t>OLIVEIRA, Valentim Rodrigues¹</w:t>
      </w:r>
    </w:p>
    <w:p w14:paraId="62ED35A0" w14:textId="77777777" w:rsidR="00D86A88" w:rsidRDefault="00B70FD3" w:rsidP="00D86A88">
      <w:pPr>
        <w:widowControl w:val="0"/>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t xml:space="preserve">              DANTAS, Talita Souza²</w:t>
      </w:r>
      <w:r w:rsidR="00D86A88">
        <w:rPr>
          <w:rFonts w:ascii="Times New Roman" w:hAnsi="Times New Roman" w:cs="Times New Roman"/>
          <w:sz w:val="24"/>
          <w:szCs w:val="24"/>
        </w:rPr>
        <w:t xml:space="preserve"> </w:t>
      </w:r>
      <w:r w:rsidR="00D86A88">
        <w:rPr>
          <w:rStyle w:val="Refdenotadefim"/>
          <w:rFonts w:ascii="Times New Roman" w:hAnsi="Times New Roman" w:cs="Times New Roman"/>
          <w:sz w:val="24"/>
          <w:szCs w:val="24"/>
        </w:rPr>
        <w:endnoteReference w:id="1"/>
      </w:r>
    </w:p>
    <w:p w14:paraId="66E2B42C" w14:textId="77777777" w:rsidR="00B70FD3" w:rsidRDefault="00B70FD3" w:rsidP="00D55BA3">
      <w:pPr>
        <w:widowControl w:val="0"/>
        <w:autoSpaceDE w:val="0"/>
        <w:autoSpaceDN w:val="0"/>
        <w:adjustRightInd w:val="0"/>
        <w:spacing w:after="0" w:line="240" w:lineRule="auto"/>
        <w:jc w:val="right"/>
        <w:rPr>
          <w:rFonts w:ascii="Times New Roman" w:hAnsi="Times New Roman" w:cs="Times New Roman"/>
          <w:sz w:val="24"/>
          <w:szCs w:val="24"/>
          <w:lang w:val="pt-PT"/>
        </w:rPr>
      </w:pPr>
    </w:p>
    <w:p w14:paraId="2226F9B7" w14:textId="77777777" w:rsidR="00B70FD3" w:rsidRDefault="00B70FD3" w:rsidP="00D55BA3">
      <w:pPr>
        <w:widowControl w:val="0"/>
        <w:autoSpaceDE w:val="0"/>
        <w:autoSpaceDN w:val="0"/>
        <w:adjustRightInd w:val="0"/>
        <w:spacing w:after="0" w:line="240" w:lineRule="auto"/>
        <w:jc w:val="both"/>
        <w:rPr>
          <w:rFonts w:ascii="Times New Roman" w:hAnsi="Times New Roman" w:cs="Times New Roman"/>
          <w:sz w:val="24"/>
          <w:szCs w:val="24"/>
          <w:lang w:val="pt-PT"/>
        </w:rPr>
      </w:pPr>
    </w:p>
    <w:p w14:paraId="4C46B360" w14:textId="77777777" w:rsidR="000A3813" w:rsidRDefault="00B70FD3" w:rsidP="00D55BA3">
      <w:pPr>
        <w:widowControl w:val="0"/>
        <w:autoSpaceDE w:val="0"/>
        <w:autoSpaceDN w:val="0"/>
        <w:adjustRightInd w:val="0"/>
        <w:spacing w:after="0" w:line="360" w:lineRule="auto"/>
        <w:jc w:val="both"/>
        <w:rPr>
          <w:rFonts w:ascii="Times New Roman" w:hAnsi="Times New Roman" w:cs="Times New Roman"/>
          <w:b/>
          <w:bCs/>
          <w:color w:val="0D0D0D" w:themeColor="text1" w:themeTint="F2"/>
          <w:sz w:val="24"/>
          <w:szCs w:val="24"/>
          <w:lang w:val="pt-PT"/>
        </w:rPr>
      </w:pPr>
      <w:r w:rsidRPr="000A3813">
        <w:rPr>
          <w:rFonts w:ascii="Times New Roman" w:hAnsi="Times New Roman" w:cs="Times New Roman"/>
          <w:b/>
          <w:bCs/>
          <w:color w:val="0D0D0D" w:themeColor="text1" w:themeTint="F2"/>
          <w:sz w:val="24"/>
          <w:szCs w:val="24"/>
          <w:lang w:val="pt-PT"/>
        </w:rPr>
        <w:t>RESUMO</w:t>
      </w:r>
    </w:p>
    <w:p w14:paraId="4F5C582B" w14:textId="1DB1BE3D" w:rsidR="00B70F98" w:rsidRDefault="00D86A88" w:rsidP="00D55BA3">
      <w:pPr>
        <w:shd w:val="clear" w:color="auto" w:fill="FFFFFF"/>
        <w:spacing w:after="0" w:line="240" w:lineRule="auto"/>
        <w:jc w:val="both"/>
        <w:textAlignment w:val="baseline"/>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O objetivo do estudo é </w:t>
      </w:r>
      <w:r>
        <w:rPr>
          <w:rFonts w:ascii="Times New Roman" w:hAnsi="Times New Roman" w:cs="Times New Roman"/>
          <w:sz w:val="24"/>
          <w:szCs w:val="24"/>
          <w:lang w:val="pt-PT"/>
        </w:rPr>
        <w:t xml:space="preserve">demonstrar a relação entre a saúde bucal e qualidade de vida, tanto de militares quanto da sociedade. Para isso, </w:t>
      </w:r>
      <w:r>
        <w:rPr>
          <w:rFonts w:ascii="Times New Roman" w:eastAsia="Times New Roman" w:hAnsi="Times New Roman" w:cs="Times New Roman"/>
          <w:color w:val="212121"/>
          <w:sz w:val="24"/>
          <w:szCs w:val="24"/>
        </w:rPr>
        <w:t xml:space="preserve">foi realizada </w:t>
      </w:r>
      <w:r w:rsidR="00B70F98" w:rsidRPr="00B70F98">
        <w:rPr>
          <w:rFonts w:ascii="Times New Roman" w:eastAsia="Times New Roman" w:hAnsi="Times New Roman" w:cs="Times New Roman"/>
          <w:color w:val="212121"/>
          <w:sz w:val="24"/>
          <w:szCs w:val="24"/>
        </w:rPr>
        <w:t>uma</w:t>
      </w:r>
      <w:r>
        <w:rPr>
          <w:rFonts w:ascii="Times New Roman" w:eastAsia="Times New Roman" w:hAnsi="Times New Roman" w:cs="Times New Roman"/>
          <w:color w:val="212121"/>
          <w:sz w:val="24"/>
          <w:szCs w:val="24"/>
        </w:rPr>
        <w:t xml:space="preserve"> revisão bibliográfica</w:t>
      </w:r>
      <w:r w:rsidR="00B70F98" w:rsidRPr="00B70F98">
        <w:rPr>
          <w:rFonts w:ascii="Times New Roman" w:eastAsia="Times New Roman" w:hAnsi="Times New Roman" w:cs="Times New Roman"/>
          <w:color w:val="212121"/>
          <w:sz w:val="24"/>
          <w:szCs w:val="24"/>
        </w:rPr>
        <w:t xml:space="preserve"> em estudos e pesquisas que tratam diretamente sobre o assunto, </w:t>
      </w:r>
      <w:r>
        <w:rPr>
          <w:rFonts w:ascii="Times New Roman" w:eastAsia="Times New Roman" w:hAnsi="Times New Roman" w:cs="Times New Roman"/>
          <w:color w:val="212121"/>
          <w:sz w:val="24"/>
          <w:szCs w:val="24"/>
        </w:rPr>
        <w:t>apontando</w:t>
      </w:r>
      <w:r w:rsidR="00B70F98" w:rsidRPr="00B70F98">
        <w:rPr>
          <w:rFonts w:ascii="Times New Roman" w:eastAsia="Times New Roman" w:hAnsi="Times New Roman" w:cs="Times New Roman"/>
          <w:color w:val="212121"/>
          <w:sz w:val="24"/>
          <w:szCs w:val="24"/>
        </w:rPr>
        <w:t xml:space="preserve"> fatores de maior relevância que influencia</w:t>
      </w:r>
      <w:r>
        <w:rPr>
          <w:rFonts w:ascii="Times New Roman" w:eastAsia="Times New Roman" w:hAnsi="Times New Roman" w:cs="Times New Roman"/>
          <w:color w:val="212121"/>
          <w:sz w:val="24"/>
          <w:szCs w:val="24"/>
        </w:rPr>
        <w:t xml:space="preserve">m </w:t>
      </w:r>
      <w:r w:rsidR="00B70F98" w:rsidRPr="00B70F98">
        <w:rPr>
          <w:rFonts w:ascii="Times New Roman" w:eastAsia="Times New Roman" w:hAnsi="Times New Roman" w:cs="Times New Roman"/>
          <w:color w:val="212121"/>
          <w:sz w:val="24"/>
          <w:szCs w:val="24"/>
        </w:rPr>
        <w:t>o aparecimento de doenças relacionadas ao mal cuidado com a saúde b</w:t>
      </w:r>
      <w:r>
        <w:rPr>
          <w:rFonts w:ascii="Times New Roman" w:eastAsia="Times New Roman" w:hAnsi="Times New Roman" w:cs="Times New Roman"/>
          <w:color w:val="212121"/>
          <w:sz w:val="24"/>
          <w:szCs w:val="24"/>
        </w:rPr>
        <w:t>ucal.</w:t>
      </w:r>
      <w:r w:rsidR="00B70F98" w:rsidRPr="00B70F98">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rPr>
        <w:t xml:space="preserve">Dessa maneira foi </w:t>
      </w:r>
      <w:r w:rsidR="00B70F98" w:rsidRPr="00B70F98">
        <w:rPr>
          <w:rFonts w:ascii="Times New Roman" w:eastAsia="Times New Roman" w:hAnsi="Times New Roman" w:cs="Times New Roman"/>
          <w:color w:val="212121"/>
          <w:sz w:val="24"/>
          <w:szCs w:val="24"/>
        </w:rPr>
        <w:t xml:space="preserve">observando que a maior concentração de indivíduos com alguma doença bucal, encontra-se em uma parcela da população com menor poder aquisitivo. </w:t>
      </w:r>
      <w:r>
        <w:rPr>
          <w:rFonts w:ascii="Times New Roman" w:eastAsia="Times New Roman" w:hAnsi="Times New Roman" w:cs="Times New Roman"/>
          <w:color w:val="212121"/>
          <w:sz w:val="24"/>
          <w:szCs w:val="24"/>
        </w:rPr>
        <w:t xml:space="preserve">Além disso, </w:t>
      </w:r>
      <w:r w:rsidR="00B70F98" w:rsidRPr="00B70F98">
        <w:rPr>
          <w:rFonts w:ascii="Times New Roman" w:eastAsia="Times New Roman" w:hAnsi="Times New Roman" w:cs="Times New Roman"/>
          <w:color w:val="212121"/>
          <w:sz w:val="24"/>
          <w:szCs w:val="24"/>
        </w:rPr>
        <w:t>com a rotina dos indivíduos, muitos destes deixam para se preocupar com a saúde bucal, já quando apresenta</w:t>
      </w:r>
      <w:r>
        <w:rPr>
          <w:rFonts w:ascii="Times New Roman" w:eastAsia="Times New Roman" w:hAnsi="Times New Roman" w:cs="Times New Roman"/>
          <w:color w:val="212121"/>
          <w:sz w:val="24"/>
          <w:szCs w:val="24"/>
        </w:rPr>
        <w:t>m</w:t>
      </w:r>
      <w:r w:rsidR="00B70F98" w:rsidRPr="00B70F98">
        <w:rPr>
          <w:rFonts w:ascii="Times New Roman" w:eastAsia="Times New Roman" w:hAnsi="Times New Roman" w:cs="Times New Roman"/>
          <w:color w:val="212121"/>
          <w:sz w:val="24"/>
          <w:szCs w:val="24"/>
        </w:rPr>
        <w:t xml:space="preserve"> al</w:t>
      </w:r>
      <w:r>
        <w:rPr>
          <w:rFonts w:ascii="Times New Roman" w:eastAsia="Times New Roman" w:hAnsi="Times New Roman" w:cs="Times New Roman"/>
          <w:color w:val="212121"/>
          <w:sz w:val="24"/>
          <w:szCs w:val="24"/>
        </w:rPr>
        <w:t>gum tipo de dor ou desconforto. Conclui-se que q</w:t>
      </w:r>
      <w:r>
        <w:rPr>
          <w:rFonts w:ascii="Times New Roman" w:hAnsi="Times New Roman" w:cs="Times New Roman"/>
          <w:sz w:val="24"/>
          <w:szCs w:val="24"/>
        </w:rPr>
        <w:t>uanto menor for a distância do atendimento digno para com aquele cidadão com menor poder aquisitivo, maior será o retorno que esse individuo poderá propor para a sociedade.</w:t>
      </w:r>
    </w:p>
    <w:p w14:paraId="24AF51D9" w14:textId="77777777" w:rsidR="00B70F98" w:rsidRPr="00B70F98" w:rsidRDefault="00B70F98" w:rsidP="00D55BA3">
      <w:pPr>
        <w:shd w:val="clear" w:color="auto" w:fill="FFFFFF"/>
        <w:spacing w:after="0" w:line="240" w:lineRule="auto"/>
        <w:jc w:val="both"/>
        <w:textAlignment w:val="baseline"/>
        <w:rPr>
          <w:rFonts w:ascii="Times New Roman" w:eastAsia="Times New Roman" w:hAnsi="Times New Roman" w:cs="Times New Roman"/>
          <w:color w:val="212121"/>
          <w:sz w:val="24"/>
          <w:szCs w:val="24"/>
        </w:rPr>
      </w:pPr>
    </w:p>
    <w:p w14:paraId="74E3BEB5" w14:textId="77777777" w:rsidR="00B70FD3" w:rsidRDefault="00B70FD3" w:rsidP="00D55BA3">
      <w:pPr>
        <w:widowControl w:val="0"/>
        <w:autoSpaceDE w:val="0"/>
        <w:autoSpaceDN w:val="0"/>
        <w:adjustRightInd w:val="0"/>
        <w:spacing w:after="0" w:line="360" w:lineRule="auto"/>
        <w:jc w:val="both"/>
        <w:rPr>
          <w:rFonts w:ascii="Times New Roman" w:hAnsi="Times New Roman" w:cs="Times New Roman"/>
          <w:sz w:val="24"/>
          <w:szCs w:val="24"/>
        </w:rPr>
      </w:pPr>
      <w:r w:rsidRPr="00C619BE">
        <w:rPr>
          <w:rFonts w:ascii="Times New Roman" w:hAnsi="Times New Roman" w:cs="Times New Roman"/>
          <w:b/>
          <w:sz w:val="24"/>
          <w:szCs w:val="24"/>
        </w:rPr>
        <w:t>Palavras-chave</w:t>
      </w:r>
      <w:r w:rsidRPr="000A3813">
        <w:rPr>
          <w:rFonts w:ascii="Times New Roman" w:hAnsi="Times New Roman" w:cs="Times New Roman"/>
          <w:sz w:val="24"/>
          <w:szCs w:val="24"/>
        </w:rPr>
        <w:t>:</w:t>
      </w:r>
      <w:r>
        <w:rPr>
          <w:rFonts w:ascii="Times New Roman" w:hAnsi="Times New Roman" w:cs="Times New Roman"/>
          <w:sz w:val="24"/>
          <w:szCs w:val="24"/>
        </w:rPr>
        <w:t xml:space="preserve"> </w:t>
      </w:r>
      <w:r w:rsidR="000A3813">
        <w:rPr>
          <w:rFonts w:ascii="Times New Roman" w:hAnsi="Times New Roman" w:cs="Times New Roman"/>
          <w:sz w:val="24"/>
          <w:szCs w:val="24"/>
        </w:rPr>
        <w:t>Individuo</w:t>
      </w:r>
      <w:r>
        <w:rPr>
          <w:rFonts w:ascii="Times New Roman" w:hAnsi="Times New Roman" w:cs="Times New Roman"/>
          <w:sz w:val="24"/>
          <w:szCs w:val="24"/>
        </w:rPr>
        <w:t>. Prevenção. Qualidade de Vida. Saúde Bucal.</w:t>
      </w:r>
    </w:p>
    <w:p w14:paraId="60180D87" w14:textId="77777777" w:rsidR="00B70FD3" w:rsidRPr="00D55BA3" w:rsidRDefault="00B70FD3" w:rsidP="00D55BA3">
      <w:pPr>
        <w:widowControl w:val="0"/>
        <w:autoSpaceDE w:val="0"/>
        <w:autoSpaceDN w:val="0"/>
        <w:adjustRightInd w:val="0"/>
        <w:spacing w:after="0" w:line="0" w:lineRule="atLeast"/>
        <w:jc w:val="both"/>
        <w:rPr>
          <w:rFonts w:ascii="Times New Roman" w:hAnsi="Times New Roman" w:cs="Times New Roman"/>
          <w:b/>
          <w:bCs/>
          <w:sz w:val="24"/>
          <w:szCs w:val="24"/>
          <w:u w:val="single"/>
          <w:lang w:val="pt-PT"/>
        </w:rPr>
      </w:pP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r>
      <w:r>
        <w:rPr>
          <w:rFonts w:ascii="Times New Roman" w:hAnsi="Times New Roman" w:cs="Times New Roman"/>
          <w:b/>
          <w:bCs/>
          <w:sz w:val="24"/>
          <w:szCs w:val="24"/>
          <w:lang w:val="pt-PT"/>
        </w:rPr>
        <w:tab/>
        <w:t xml:space="preserve">       </w:t>
      </w:r>
    </w:p>
    <w:p w14:paraId="15CBE3EA" w14:textId="77777777" w:rsidR="00FA4B9E" w:rsidRDefault="00D55BA3" w:rsidP="00D55BA3">
      <w:pPr>
        <w:widowControl w:val="0"/>
        <w:autoSpaceDE w:val="0"/>
        <w:autoSpaceDN w:val="0"/>
        <w:adjustRightInd w:val="0"/>
        <w:spacing w:after="0" w:line="360" w:lineRule="auto"/>
        <w:jc w:val="both"/>
        <w:rPr>
          <w:rFonts w:ascii="Times New Roman" w:hAnsi="Times New Roman" w:cs="Times New Roman"/>
          <w:b/>
          <w:bCs/>
          <w:color w:val="0D0D0D" w:themeColor="text1" w:themeTint="F2"/>
          <w:sz w:val="24"/>
          <w:szCs w:val="24"/>
          <w:lang w:val="pt-PT"/>
        </w:rPr>
      </w:pPr>
      <w:r>
        <w:rPr>
          <w:rFonts w:ascii="Times New Roman" w:hAnsi="Times New Roman" w:cs="Times New Roman"/>
          <w:b/>
          <w:bCs/>
          <w:color w:val="0D0D0D" w:themeColor="text1" w:themeTint="F2"/>
          <w:sz w:val="24"/>
          <w:szCs w:val="24"/>
          <w:lang w:val="pt-PT"/>
        </w:rPr>
        <w:t>ABSTRACT</w:t>
      </w:r>
    </w:p>
    <w:p w14:paraId="1454A92D" w14:textId="3A54CE90" w:rsidR="00D55BA3" w:rsidRDefault="00263D36" w:rsidP="00D55BA3">
      <w:pPr>
        <w:shd w:val="clear" w:color="auto" w:fill="FFFFFF"/>
        <w:spacing w:after="0" w:line="240" w:lineRule="auto"/>
        <w:jc w:val="both"/>
        <w:textAlignment w:val="baseline"/>
        <w:rPr>
          <w:rFonts w:ascii="Times New Roman" w:eastAsia="Times New Roman" w:hAnsi="Times New Roman" w:cs="Times New Roman"/>
          <w:color w:val="212121"/>
          <w:sz w:val="24"/>
          <w:szCs w:val="24"/>
        </w:rPr>
      </w:pPr>
      <w:r w:rsidRPr="00263D36">
        <w:rPr>
          <w:rFonts w:ascii="Times New Roman" w:eastAsia="Times New Roman" w:hAnsi="Times New Roman" w:cs="Times New Roman"/>
          <w:color w:val="212121"/>
          <w:sz w:val="24"/>
          <w:szCs w:val="24"/>
        </w:rPr>
        <w:t xml:space="preserve">The </w:t>
      </w:r>
      <w:r>
        <w:rPr>
          <w:rFonts w:ascii="Times New Roman" w:eastAsia="Times New Roman" w:hAnsi="Times New Roman" w:cs="Times New Roman"/>
          <w:color w:val="212121"/>
          <w:sz w:val="24"/>
          <w:szCs w:val="24"/>
        </w:rPr>
        <w:t>aim</w:t>
      </w:r>
      <w:r w:rsidRPr="00263D36">
        <w:rPr>
          <w:rFonts w:ascii="Times New Roman" w:eastAsia="Times New Roman" w:hAnsi="Times New Roman" w:cs="Times New Roman"/>
          <w:color w:val="212121"/>
          <w:sz w:val="24"/>
          <w:szCs w:val="24"/>
        </w:rPr>
        <w:t xml:space="preserve"> of the study is to demonstrate the relationship between oral health and quality of life, both military and society. For this, a bibliographic review was carried out in studies and research that deal directly with the subject, indicating factors of greater relevance that influence the appearance of diseases related to poor oral health care. In this way it was observed that the highest concentration of individuals with some oral disease, is in a portion of the population with lower purchasing power. In addition, with the routine of the individuals, many of these leave to worry about the oral health, already when they present some type of pain or discomfort. It is concluded that the lower the distance of decent service to that citizen with lower purchasing power, the greater the return that individual can propose to society.</w:t>
      </w:r>
    </w:p>
    <w:p w14:paraId="62852C66" w14:textId="77777777" w:rsidR="00263D36" w:rsidRPr="00B70F98" w:rsidRDefault="00263D36" w:rsidP="00D55BA3">
      <w:pPr>
        <w:shd w:val="clear" w:color="auto" w:fill="FFFFFF"/>
        <w:spacing w:after="0" w:line="240" w:lineRule="auto"/>
        <w:jc w:val="both"/>
        <w:textAlignment w:val="baseline"/>
        <w:rPr>
          <w:rFonts w:ascii="Times New Roman" w:eastAsia="Times New Roman" w:hAnsi="Times New Roman" w:cs="Times New Roman"/>
          <w:color w:val="212121"/>
          <w:sz w:val="24"/>
          <w:szCs w:val="24"/>
        </w:rPr>
      </w:pPr>
    </w:p>
    <w:p w14:paraId="0EEAECA1" w14:textId="77777777" w:rsidR="00263BDB" w:rsidRPr="00D55BA3" w:rsidRDefault="00D55BA3" w:rsidP="00D55BA3">
      <w:pPr>
        <w:shd w:val="clear" w:color="auto" w:fill="FFFFFF"/>
        <w:spacing w:after="0" w:line="240" w:lineRule="auto"/>
        <w:jc w:val="both"/>
        <w:textAlignment w:val="baseline"/>
        <w:rPr>
          <w:rFonts w:ascii="Times New Roman" w:eastAsia="Times New Roman" w:hAnsi="Times New Roman" w:cs="Times New Roman"/>
          <w:color w:val="212121"/>
          <w:sz w:val="24"/>
          <w:szCs w:val="24"/>
        </w:rPr>
      </w:pPr>
      <w:r w:rsidRPr="00C619BE">
        <w:rPr>
          <w:rFonts w:ascii="Times New Roman" w:eastAsia="Times New Roman" w:hAnsi="Times New Roman" w:cs="Times New Roman"/>
          <w:b/>
          <w:color w:val="212121"/>
          <w:sz w:val="24"/>
          <w:szCs w:val="24"/>
        </w:rPr>
        <w:t>Keywords:</w:t>
      </w:r>
      <w:r w:rsidRPr="00B70F98">
        <w:rPr>
          <w:rFonts w:ascii="Times New Roman" w:eastAsia="Times New Roman" w:hAnsi="Times New Roman" w:cs="Times New Roman"/>
          <w:color w:val="212121"/>
          <w:sz w:val="24"/>
          <w:szCs w:val="24"/>
        </w:rPr>
        <w:t xml:space="preserve"> Individual. Prevention. Quality of life. Oral Health.</w:t>
      </w:r>
    </w:p>
    <w:p w14:paraId="2D52888E" w14:textId="77777777" w:rsidR="00D86A88" w:rsidRDefault="00D86A88" w:rsidP="00D55BA3">
      <w:pPr>
        <w:widowControl w:val="0"/>
        <w:autoSpaceDE w:val="0"/>
        <w:autoSpaceDN w:val="0"/>
        <w:adjustRightInd w:val="0"/>
        <w:spacing w:after="0" w:line="360" w:lineRule="auto"/>
        <w:jc w:val="both"/>
        <w:rPr>
          <w:rFonts w:ascii="Times New Roman" w:hAnsi="Times New Roman" w:cs="Times New Roman"/>
          <w:sz w:val="24"/>
          <w:szCs w:val="24"/>
        </w:rPr>
      </w:pPr>
    </w:p>
    <w:p w14:paraId="6C3A4976" w14:textId="77777777" w:rsidR="00D86A88" w:rsidRDefault="00D86A88" w:rsidP="00D55BA3">
      <w:pPr>
        <w:widowControl w:val="0"/>
        <w:autoSpaceDE w:val="0"/>
        <w:autoSpaceDN w:val="0"/>
        <w:adjustRightInd w:val="0"/>
        <w:spacing w:after="0" w:line="360" w:lineRule="auto"/>
        <w:jc w:val="both"/>
        <w:rPr>
          <w:rFonts w:ascii="Times New Roman" w:hAnsi="Times New Roman" w:cs="Times New Roman"/>
          <w:sz w:val="24"/>
          <w:szCs w:val="24"/>
        </w:rPr>
      </w:pPr>
    </w:p>
    <w:p w14:paraId="13211C8C" w14:textId="77777777" w:rsidR="00D86A88" w:rsidRDefault="00D86A88" w:rsidP="00D55BA3">
      <w:pPr>
        <w:widowControl w:val="0"/>
        <w:autoSpaceDE w:val="0"/>
        <w:autoSpaceDN w:val="0"/>
        <w:adjustRightInd w:val="0"/>
        <w:spacing w:after="0" w:line="360" w:lineRule="auto"/>
        <w:jc w:val="both"/>
        <w:rPr>
          <w:rFonts w:ascii="Times New Roman" w:hAnsi="Times New Roman" w:cs="Times New Roman"/>
          <w:sz w:val="24"/>
          <w:szCs w:val="24"/>
        </w:rPr>
      </w:pPr>
    </w:p>
    <w:p w14:paraId="2A0526D6" w14:textId="77777777" w:rsidR="00263D36" w:rsidRDefault="00263D36" w:rsidP="00D55BA3">
      <w:pPr>
        <w:widowControl w:val="0"/>
        <w:autoSpaceDE w:val="0"/>
        <w:autoSpaceDN w:val="0"/>
        <w:adjustRightInd w:val="0"/>
        <w:spacing w:after="0" w:line="360" w:lineRule="auto"/>
        <w:jc w:val="both"/>
        <w:rPr>
          <w:rFonts w:ascii="Times New Roman" w:hAnsi="Times New Roman" w:cs="Times New Roman"/>
          <w:sz w:val="24"/>
          <w:szCs w:val="24"/>
        </w:rPr>
      </w:pPr>
    </w:p>
    <w:p w14:paraId="22AFBB28" w14:textId="77777777" w:rsidR="00263D36" w:rsidRDefault="00263D36" w:rsidP="00D55BA3">
      <w:pPr>
        <w:widowControl w:val="0"/>
        <w:autoSpaceDE w:val="0"/>
        <w:autoSpaceDN w:val="0"/>
        <w:adjustRightInd w:val="0"/>
        <w:spacing w:after="0" w:line="360" w:lineRule="auto"/>
        <w:jc w:val="both"/>
        <w:rPr>
          <w:rFonts w:ascii="Times New Roman" w:hAnsi="Times New Roman" w:cs="Times New Roman"/>
          <w:sz w:val="24"/>
          <w:szCs w:val="24"/>
        </w:rPr>
      </w:pPr>
    </w:p>
    <w:p w14:paraId="38C1F391" w14:textId="77777777" w:rsidR="00263D36" w:rsidRDefault="00263D36" w:rsidP="00D55BA3">
      <w:pPr>
        <w:widowControl w:val="0"/>
        <w:autoSpaceDE w:val="0"/>
        <w:autoSpaceDN w:val="0"/>
        <w:adjustRightInd w:val="0"/>
        <w:spacing w:after="0" w:line="360" w:lineRule="auto"/>
        <w:jc w:val="both"/>
        <w:rPr>
          <w:rFonts w:ascii="Times New Roman" w:hAnsi="Times New Roman" w:cs="Times New Roman"/>
          <w:sz w:val="24"/>
          <w:szCs w:val="24"/>
        </w:rPr>
      </w:pPr>
    </w:p>
    <w:p w14:paraId="7850D0E4" w14:textId="77777777" w:rsidR="00D86A88" w:rsidRDefault="00D86A88" w:rsidP="00D55BA3">
      <w:pPr>
        <w:widowControl w:val="0"/>
        <w:autoSpaceDE w:val="0"/>
        <w:autoSpaceDN w:val="0"/>
        <w:adjustRightInd w:val="0"/>
        <w:spacing w:after="0" w:line="360" w:lineRule="auto"/>
        <w:jc w:val="both"/>
        <w:rPr>
          <w:rFonts w:ascii="Times New Roman" w:hAnsi="Times New Roman" w:cs="Times New Roman"/>
          <w:sz w:val="24"/>
          <w:szCs w:val="24"/>
        </w:rPr>
      </w:pPr>
    </w:p>
    <w:p w14:paraId="4C035A2C" w14:textId="77777777" w:rsidR="00D86A88" w:rsidRDefault="00D86A88" w:rsidP="00D55BA3">
      <w:pPr>
        <w:widowControl w:val="0"/>
        <w:autoSpaceDE w:val="0"/>
        <w:autoSpaceDN w:val="0"/>
        <w:adjustRightInd w:val="0"/>
        <w:spacing w:after="0" w:line="360" w:lineRule="auto"/>
        <w:jc w:val="both"/>
        <w:rPr>
          <w:rFonts w:ascii="Times New Roman" w:hAnsi="Times New Roman" w:cs="Times New Roman"/>
          <w:sz w:val="24"/>
          <w:szCs w:val="24"/>
        </w:rPr>
        <w:sectPr w:rsidR="00D86A88" w:rsidSect="00D55BA3">
          <w:headerReference w:type="default" r:id="rId7"/>
          <w:pgSz w:w="11906" w:h="16838"/>
          <w:pgMar w:top="1134" w:right="1134" w:bottom="1134" w:left="1701" w:header="709" w:footer="709" w:gutter="0"/>
          <w:pgNumType w:start="2"/>
          <w:cols w:space="708"/>
          <w:docGrid w:linePitch="360"/>
        </w:sectPr>
      </w:pPr>
    </w:p>
    <w:p w14:paraId="2D485DBA" w14:textId="77777777" w:rsidR="00B70FD3" w:rsidRDefault="00D55BA3" w:rsidP="00D55BA3">
      <w:pPr>
        <w:widowControl w:val="0"/>
        <w:autoSpaceDE w:val="0"/>
        <w:autoSpaceDN w:val="0"/>
        <w:adjustRightInd w:val="0"/>
        <w:spacing w:after="0" w:line="360" w:lineRule="auto"/>
        <w:jc w:val="both"/>
        <w:rPr>
          <w:rFonts w:ascii="Times New Roman" w:hAnsi="Times New Roman" w:cs="Times New Roman"/>
          <w:b/>
          <w:bCs/>
          <w:sz w:val="24"/>
          <w:szCs w:val="24"/>
          <w:lang w:val="pt-PT"/>
        </w:rPr>
      </w:pPr>
      <w:r>
        <w:rPr>
          <w:rFonts w:ascii="Times New Roman" w:hAnsi="Times New Roman" w:cs="Times New Roman"/>
          <w:b/>
          <w:bCs/>
          <w:sz w:val="24"/>
          <w:szCs w:val="24"/>
          <w:lang w:val="pt-PT"/>
        </w:rPr>
        <w:lastRenderedPageBreak/>
        <w:t xml:space="preserve">1 </w:t>
      </w:r>
      <w:r w:rsidR="00B70FD3">
        <w:rPr>
          <w:rFonts w:ascii="Times New Roman" w:hAnsi="Times New Roman" w:cs="Times New Roman"/>
          <w:b/>
          <w:bCs/>
          <w:sz w:val="24"/>
          <w:szCs w:val="24"/>
          <w:lang w:val="pt-PT"/>
        </w:rPr>
        <w:t>INTRODUÇÃO</w:t>
      </w:r>
    </w:p>
    <w:p w14:paraId="4C4070BA" w14:textId="77777777" w:rsidR="00B70FD3" w:rsidRDefault="00B70FD3" w:rsidP="00D55BA3">
      <w:pPr>
        <w:widowControl w:val="0"/>
        <w:autoSpaceDE w:val="0"/>
        <w:autoSpaceDN w:val="0"/>
        <w:adjustRightInd w:val="0"/>
        <w:spacing w:after="0" w:line="360" w:lineRule="auto"/>
        <w:ind w:firstLine="1134"/>
        <w:contextualSpacing/>
        <w:jc w:val="both"/>
        <w:rPr>
          <w:rFonts w:ascii="Times New Roman" w:hAnsi="Times New Roman" w:cs="Times New Roman"/>
          <w:b/>
          <w:bCs/>
          <w:sz w:val="24"/>
          <w:szCs w:val="24"/>
          <w:lang w:val="pt-PT"/>
        </w:rPr>
      </w:pPr>
    </w:p>
    <w:p w14:paraId="5F316656" w14:textId="77777777" w:rsidR="00B70FD3"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b/>
          <w:bCs/>
          <w:sz w:val="24"/>
          <w:szCs w:val="24"/>
          <w:lang w:val="pt-PT"/>
        </w:rPr>
        <w:tab/>
      </w:r>
      <w:r>
        <w:rPr>
          <w:rFonts w:ascii="Times New Roman" w:hAnsi="Times New Roman" w:cs="Times New Roman"/>
          <w:sz w:val="24"/>
          <w:szCs w:val="24"/>
          <w:lang w:val="pt-PT"/>
        </w:rPr>
        <w:t>De acordo com Pereira (2010, p.17), todas as pessoas devem dispor de uma condição de saúde bucal que lhes permita: mastigar, sorrir, viver sem sentir dor ou algum tipo de desconforto, e se interagir com o restante da sociedade sem se preocupar em constranger-se com alguma moléstia ou deformidade vinculada a estética bucal, para com isso, poder viver com qualidade de vida.</w:t>
      </w:r>
    </w:p>
    <w:p w14:paraId="052FD81F" w14:textId="77777777" w:rsidR="00B70FD3"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ab/>
        <w:t xml:space="preserve">Segundo Rosa (2012), no ambiente castrense, observa-se que os militares                                                               </w:t>
      </w:r>
      <w:r w:rsidR="00263BDB">
        <w:rPr>
          <w:rFonts w:ascii="Times New Roman" w:hAnsi="Times New Roman" w:cs="Times New Roman"/>
          <w:sz w:val="24"/>
          <w:szCs w:val="24"/>
          <w:lang w:val="pt-PT"/>
        </w:rPr>
        <w:t xml:space="preserve">                         </w:t>
      </w:r>
      <w:r>
        <w:rPr>
          <w:rFonts w:ascii="Times New Roman" w:hAnsi="Times New Roman" w:cs="Times New Roman"/>
          <w:sz w:val="24"/>
          <w:szCs w:val="24"/>
          <w:lang w:val="pt-PT"/>
        </w:rPr>
        <w:t>percebem a importância da saúde bucal para a qualidade de vida sob o aspecto físico, social e psicológico, observando que quando ocorrem dor e desconforto decorrente de maus hábitos de uma má escovação, são considerados fatores relevantes que acarretam na má qualidade das atividades diárias e desempenho da atividade policial.</w:t>
      </w:r>
    </w:p>
    <w:p w14:paraId="1782DFCD" w14:textId="77777777" w:rsidR="00B70FD3" w:rsidRDefault="00B70FD3" w:rsidP="00C619B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18"/>
          <w:szCs w:val="18"/>
          <w:lang w:val="pt-PT"/>
        </w:rPr>
      </w:pPr>
      <w:r>
        <w:rPr>
          <w:rFonts w:ascii="Times New Roman" w:hAnsi="Times New Roman" w:cs="Times New Roman"/>
          <w:sz w:val="24"/>
          <w:szCs w:val="24"/>
          <w:lang w:val="pt-PT"/>
        </w:rPr>
        <w:t>Pereira (2010, p.15) traz em sua pesquisa, que quando o individuo apresenta alterações na saúde bucal, automaticamente reflete negativamente na qualidade de vida do mesmo. Pessoas que sofrem perdas dentárias demonstram problemas no ambiente onde trabalham, no ambiente familiar e social com sentimentos negativos como constrangimento e isolamento, podendo desencadear em depressão, dentre outros problemas comportamentais.</w:t>
      </w:r>
    </w:p>
    <w:p w14:paraId="12D07A57" w14:textId="5697BFD2" w:rsidR="00B70FD3"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Capa (1982) demonstra em seus estudos, a atenção para os fatores da saúde da pessoa. O autor aborda questões de suma importância referente à saúde bucal dos indivíduos, o mesmo diz que a saúde e determinada pelo tipo de comportamento, alimentação e natureza do local onde este individual convive. </w:t>
      </w:r>
    </w:p>
    <w:p w14:paraId="62F21E4A" w14:textId="089B8017" w:rsidR="00B70FD3"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Peterson (2003) aponta que as doenças ocorrem devido um estilo de vida desfavorável à saúde, seja socialmente, economicamente, culturalmente ou emocionalmente. No decorrer da carreira do policial militar, são alguns fatores preventivos para com a sua saúde, que vão determinar se ele terá uma qualidade de vida boa ou acarretada de moléstias e problemas com a sua saúde.</w:t>
      </w:r>
    </w:p>
    <w:p w14:paraId="7D80F00B" w14:textId="0C22007E" w:rsidR="00B70FD3"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Observada a questão sobre a associação entre saúde bucal e qualidade de vida dos militares, abordaremos o tema por meio de uma revisão de trabalhos e estudos científicos que abordam o assunto. Tendo como objetivo, demonstrar através destes, a questão vinculada entre a saúde bucal e qualidade de vida, tanto de militares quanto da sociedade. Demonstrando que se não houver uma cautela para com a saúde bucal, a qualidade de vida estará comprometida.</w:t>
      </w:r>
    </w:p>
    <w:p w14:paraId="5685DD2A" w14:textId="77777777" w:rsidR="001837C5" w:rsidRDefault="001837C5" w:rsidP="00D55BA3">
      <w:pPr>
        <w:widowControl w:val="0"/>
        <w:tabs>
          <w:tab w:val="left" w:pos="1136"/>
        </w:tabs>
        <w:autoSpaceDE w:val="0"/>
        <w:autoSpaceDN w:val="0"/>
        <w:adjustRightInd w:val="0"/>
        <w:spacing w:after="0" w:line="360" w:lineRule="auto"/>
        <w:contextualSpacing/>
        <w:jc w:val="both"/>
        <w:rPr>
          <w:rFonts w:ascii="Times New Roman" w:hAnsi="Times New Roman" w:cs="Times New Roman"/>
          <w:sz w:val="24"/>
          <w:szCs w:val="24"/>
          <w:lang w:val="pt-PT"/>
        </w:rPr>
      </w:pPr>
    </w:p>
    <w:p w14:paraId="6882882B" w14:textId="77777777" w:rsidR="001837C5" w:rsidRPr="001837C5" w:rsidRDefault="00D55BA3" w:rsidP="00D55BA3">
      <w:pPr>
        <w:widowControl w:val="0"/>
        <w:autoSpaceDE w:val="0"/>
        <w:autoSpaceDN w:val="0"/>
        <w:adjustRightInd w:val="0"/>
        <w:spacing w:after="0" w:line="360" w:lineRule="auto"/>
        <w:jc w:val="both"/>
        <w:rPr>
          <w:rFonts w:ascii="Times New Roman" w:hAnsi="Times New Roman" w:cs="Times New Roman"/>
          <w:b/>
          <w:bCs/>
          <w:sz w:val="24"/>
          <w:szCs w:val="24"/>
          <w:lang w:val="pt-PT"/>
        </w:rPr>
      </w:pPr>
      <w:r>
        <w:rPr>
          <w:rFonts w:ascii="Times New Roman" w:hAnsi="Times New Roman" w:cs="Times New Roman"/>
          <w:b/>
          <w:bCs/>
          <w:sz w:val="24"/>
          <w:szCs w:val="24"/>
          <w:lang w:val="pt-PT"/>
        </w:rPr>
        <w:t xml:space="preserve">2 </w:t>
      </w:r>
      <w:r w:rsidR="00B70FD3">
        <w:rPr>
          <w:rFonts w:ascii="Times New Roman" w:hAnsi="Times New Roman" w:cs="Times New Roman"/>
          <w:b/>
          <w:bCs/>
          <w:sz w:val="24"/>
          <w:szCs w:val="24"/>
          <w:lang w:val="pt-PT"/>
        </w:rPr>
        <w:t>REVISÃO DA LITERATURA</w:t>
      </w:r>
    </w:p>
    <w:p w14:paraId="72AED9BF" w14:textId="77777777" w:rsidR="00B70FD3" w:rsidRPr="00C619BE" w:rsidRDefault="00D55BA3" w:rsidP="00D55BA3">
      <w:pPr>
        <w:widowControl w:val="0"/>
        <w:autoSpaceDE w:val="0"/>
        <w:autoSpaceDN w:val="0"/>
        <w:adjustRightInd w:val="0"/>
        <w:spacing w:after="0" w:line="360" w:lineRule="auto"/>
        <w:jc w:val="both"/>
        <w:rPr>
          <w:rFonts w:ascii="Times New Roman" w:hAnsi="Times New Roman" w:cs="Times New Roman"/>
          <w:bCs/>
          <w:sz w:val="24"/>
          <w:szCs w:val="24"/>
          <w:lang w:val="pt-PT"/>
        </w:rPr>
      </w:pPr>
      <w:r w:rsidRPr="00C619BE">
        <w:rPr>
          <w:rFonts w:ascii="Times New Roman" w:hAnsi="Times New Roman" w:cs="Times New Roman"/>
          <w:bCs/>
          <w:sz w:val="24"/>
          <w:szCs w:val="24"/>
          <w:lang w:val="pt-PT"/>
        </w:rPr>
        <w:t xml:space="preserve">2.1 </w:t>
      </w:r>
      <w:r w:rsidR="00B70FD3" w:rsidRPr="00C619BE">
        <w:rPr>
          <w:rFonts w:ascii="Times New Roman" w:hAnsi="Times New Roman" w:cs="Times New Roman"/>
          <w:bCs/>
          <w:sz w:val="24"/>
          <w:szCs w:val="24"/>
          <w:lang w:val="pt-PT"/>
        </w:rPr>
        <w:t>QUALIDADE DE VIDA NO TRABALHO</w:t>
      </w:r>
    </w:p>
    <w:p w14:paraId="38E46574" w14:textId="77777777" w:rsidR="00D55BA3" w:rsidRDefault="00D55BA3" w:rsidP="00D55BA3">
      <w:pPr>
        <w:widowControl w:val="0"/>
        <w:autoSpaceDE w:val="0"/>
        <w:autoSpaceDN w:val="0"/>
        <w:adjustRightInd w:val="0"/>
        <w:spacing w:after="0" w:line="360" w:lineRule="auto"/>
        <w:jc w:val="both"/>
        <w:rPr>
          <w:rFonts w:ascii="Times New Roman" w:hAnsi="Times New Roman" w:cs="Times New Roman"/>
          <w:b/>
          <w:bCs/>
          <w:sz w:val="24"/>
          <w:szCs w:val="24"/>
          <w:lang w:val="pt-PT"/>
        </w:rPr>
      </w:pPr>
    </w:p>
    <w:p w14:paraId="2D14F0BA" w14:textId="76EFD400" w:rsidR="00D55BA3" w:rsidRDefault="00D55BA3" w:rsidP="00C619BE">
      <w:pPr>
        <w:widowControl w:val="0"/>
        <w:tabs>
          <w:tab w:val="left" w:pos="1136"/>
        </w:tabs>
        <w:autoSpaceDE w:val="0"/>
        <w:autoSpaceDN w:val="0"/>
        <w:adjustRightInd w:val="0"/>
        <w:spacing w:after="0" w:line="24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ab/>
      </w:r>
      <w:r w:rsidR="00B70FD3">
        <w:rPr>
          <w:rFonts w:ascii="Times New Roman" w:hAnsi="Times New Roman" w:cs="Times New Roman"/>
          <w:sz w:val="24"/>
          <w:szCs w:val="24"/>
          <w:lang w:val="pt-PT"/>
        </w:rPr>
        <w:t>A relação existente entre a instituição Polícia Militar e seus integrantes é marcada por uma forte indentificção, ou seja, os policiais acreditam na filosofia institucional e a seguem. De</w:t>
      </w:r>
      <w:r w:rsidR="00D86A88">
        <w:rPr>
          <w:rFonts w:ascii="Times New Roman" w:hAnsi="Times New Roman" w:cs="Times New Roman"/>
          <w:sz w:val="24"/>
          <w:szCs w:val="24"/>
          <w:lang w:val="pt-PT"/>
        </w:rPr>
        <w:t xml:space="preserve"> </w:t>
      </w:r>
      <w:r w:rsidR="00B70FD3">
        <w:rPr>
          <w:rFonts w:ascii="Times New Roman" w:hAnsi="Times New Roman" w:cs="Times New Roman"/>
          <w:sz w:val="24"/>
          <w:szCs w:val="24"/>
          <w:lang w:val="pt-PT"/>
        </w:rPr>
        <w:t xml:space="preserve">acordo com documentos internos da PM, ela </w:t>
      </w:r>
      <w:r w:rsidR="001837C5">
        <w:rPr>
          <w:rFonts w:ascii="Times New Roman" w:hAnsi="Times New Roman" w:cs="Times New Roman"/>
          <w:sz w:val="24"/>
          <w:szCs w:val="24"/>
          <w:lang w:val="pt-PT"/>
        </w:rPr>
        <w:t xml:space="preserve">pode ser identificada como uma </w:t>
      </w:r>
      <w:r w:rsidR="00B70FD3">
        <w:rPr>
          <w:rFonts w:ascii="Times New Roman" w:hAnsi="Times New Roman" w:cs="Times New Roman"/>
          <w:sz w:val="24"/>
          <w:szCs w:val="24"/>
          <w:lang w:val="pt-PT"/>
        </w:rPr>
        <w:t>organização que direciona suas ações diretamente para a clientela (população bastantes heterogênea) e se preocupa muito com a difusão se seus valores através</w:t>
      </w:r>
      <w:r w:rsidR="00E4387A">
        <w:rPr>
          <w:rFonts w:ascii="Times New Roman" w:hAnsi="Times New Roman" w:cs="Times New Roman"/>
          <w:sz w:val="24"/>
          <w:szCs w:val="24"/>
          <w:lang w:val="pt-PT"/>
        </w:rPr>
        <w:t xml:space="preserve"> da atuação de seus integrantes</w:t>
      </w:r>
      <w:r w:rsidR="00B70FD3">
        <w:rPr>
          <w:rFonts w:ascii="Times New Roman" w:hAnsi="Times New Roman" w:cs="Times New Roman"/>
          <w:sz w:val="24"/>
          <w:szCs w:val="24"/>
          <w:lang w:val="pt-PT"/>
        </w:rPr>
        <w:t xml:space="preserve"> ( LEITE, 2016)</w:t>
      </w:r>
      <w:r w:rsidR="00E4387A">
        <w:rPr>
          <w:rFonts w:ascii="Times New Roman" w:hAnsi="Times New Roman" w:cs="Times New Roman"/>
          <w:sz w:val="24"/>
          <w:szCs w:val="24"/>
          <w:lang w:val="pt-PT"/>
        </w:rPr>
        <w:t>.</w:t>
      </w:r>
    </w:p>
    <w:p w14:paraId="3EE4C37C" w14:textId="692C4609" w:rsidR="00D86A88" w:rsidRDefault="00B70FD3" w:rsidP="00C619B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Para melhorar a qualidade de vida no trabalho dos policiais militares, devem ser observados os seguintes parâmetros:</w:t>
      </w:r>
    </w:p>
    <w:p w14:paraId="6016FC25" w14:textId="77777777" w:rsidR="00E4387A" w:rsidRDefault="00E4387A"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a) Critérios- alguns critérios são importantes para implementar projetos de Qualidade de Vida do Policial (QVP), pois permitem conduzir as pessoas da organização a uma melhor satisfação de suas necessidades pessoais: salário compatível e suficiente; condições de Segurança e Bem estar no trabalho; oportunidades de crescimento continuo, atenção voltada tanto para a saúde bucal quanto para as demais áreas da saúde; e maior eficiência da organização;</w:t>
      </w:r>
    </w:p>
    <w:p w14:paraId="6CD40EBA" w14:textId="77777777" w:rsidR="00E4387A" w:rsidRDefault="00E4387A"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b) benefícios- a implementação de projetos de QVT pode resultar em benefícios tanto para a organização como para o Policial, o que se pode refletir em : evolução e desenvolvimento do trabalhador; uma elevada motivação; maior desenvolvimento de suas funções; menor rotatividade no emprego; melhores taxas de absenteísmo; menos queixas; maior satisfação no trabalho; e maior eficiência da organização;</w:t>
      </w:r>
    </w:p>
    <w:p w14:paraId="1E45D601" w14:textId="77777777" w:rsidR="00E4387A" w:rsidRDefault="00E4387A"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c) limitações- os projetos QVT também têm suas limitações, que serão listadas:</w:t>
      </w:r>
    </w:p>
    <w:p w14:paraId="782FB582" w14:textId="77777777" w:rsidR="00E4387A" w:rsidRDefault="00E4387A" w:rsidP="0057047E">
      <w:pPr>
        <w:widowControl w:val="0"/>
        <w:tabs>
          <w:tab w:val="left" w:pos="2268"/>
        </w:tabs>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1- Alguns trabalhadores não desejam melhorar sua QVT;</w:t>
      </w:r>
    </w:p>
    <w:p w14:paraId="59533190" w14:textId="77777777" w:rsidR="00E4387A" w:rsidRDefault="00E4387A"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2- Os melhores trabalhadores não concordam como os salários que recebem;</w:t>
      </w:r>
    </w:p>
    <w:p w14:paraId="67A14C88" w14:textId="77777777" w:rsidR="00E4387A" w:rsidRDefault="00E4387A"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3- A equipe técnica não é adaptável. (GOIÁS, 2004)</w:t>
      </w:r>
    </w:p>
    <w:p w14:paraId="07D126EA" w14:textId="77777777" w:rsidR="001837C5" w:rsidRDefault="001837C5" w:rsidP="0057047E">
      <w:pPr>
        <w:widowControl w:val="0"/>
        <w:autoSpaceDE w:val="0"/>
        <w:autoSpaceDN w:val="0"/>
        <w:adjustRightInd w:val="0"/>
        <w:spacing w:after="0" w:line="360" w:lineRule="auto"/>
        <w:ind w:firstLine="709"/>
        <w:contextualSpacing/>
        <w:jc w:val="both"/>
        <w:rPr>
          <w:rFonts w:ascii="Times New Roman" w:hAnsi="Times New Roman" w:cs="Times New Roman"/>
          <w:sz w:val="24"/>
          <w:szCs w:val="24"/>
          <w:lang w:val="pt-PT"/>
        </w:rPr>
      </w:pPr>
    </w:p>
    <w:p w14:paraId="7DCE88D0" w14:textId="77777777" w:rsidR="001837C5" w:rsidRDefault="001837C5" w:rsidP="00D55BA3">
      <w:pPr>
        <w:widowControl w:val="0"/>
        <w:autoSpaceDE w:val="0"/>
        <w:autoSpaceDN w:val="0"/>
        <w:adjustRightInd w:val="0"/>
        <w:spacing w:after="0" w:line="360" w:lineRule="auto"/>
        <w:ind w:firstLine="1134"/>
        <w:contextualSpacing/>
        <w:jc w:val="both"/>
        <w:rPr>
          <w:rFonts w:ascii="Times New Roman" w:hAnsi="Times New Roman" w:cs="Times New Roman"/>
          <w:sz w:val="24"/>
          <w:szCs w:val="24"/>
          <w:lang w:val="pt-PT"/>
        </w:rPr>
      </w:pPr>
    </w:p>
    <w:p w14:paraId="7763A166" w14:textId="77777777" w:rsidR="00B70FD3" w:rsidRPr="0057047E" w:rsidRDefault="00D55BA3" w:rsidP="00D55BA3">
      <w:pPr>
        <w:widowControl w:val="0"/>
        <w:autoSpaceDE w:val="0"/>
        <w:autoSpaceDN w:val="0"/>
        <w:adjustRightInd w:val="0"/>
        <w:spacing w:after="0" w:line="360" w:lineRule="auto"/>
        <w:jc w:val="both"/>
        <w:rPr>
          <w:rFonts w:ascii="Times New Roman" w:hAnsi="Times New Roman" w:cs="Times New Roman"/>
          <w:bCs/>
          <w:sz w:val="24"/>
          <w:szCs w:val="24"/>
          <w:lang w:val="pt-PT"/>
        </w:rPr>
      </w:pPr>
      <w:r w:rsidRPr="0057047E">
        <w:rPr>
          <w:rFonts w:ascii="Times New Roman" w:hAnsi="Times New Roman" w:cs="Times New Roman"/>
          <w:bCs/>
          <w:sz w:val="24"/>
          <w:szCs w:val="24"/>
          <w:lang w:val="pt-PT"/>
        </w:rPr>
        <w:t xml:space="preserve">2.2 </w:t>
      </w:r>
      <w:r w:rsidR="00B70FD3" w:rsidRPr="0057047E">
        <w:rPr>
          <w:rFonts w:ascii="Times New Roman" w:hAnsi="Times New Roman" w:cs="Times New Roman"/>
          <w:bCs/>
          <w:sz w:val="24"/>
          <w:szCs w:val="24"/>
          <w:lang w:val="pt-PT"/>
        </w:rPr>
        <w:t xml:space="preserve">SAÚDE BUCAL </w:t>
      </w:r>
    </w:p>
    <w:p w14:paraId="021C00EC" w14:textId="77777777" w:rsidR="00E4387A" w:rsidRDefault="00E4387A" w:rsidP="00D55BA3">
      <w:pPr>
        <w:widowControl w:val="0"/>
        <w:autoSpaceDE w:val="0"/>
        <w:autoSpaceDN w:val="0"/>
        <w:adjustRightInd w:val="0"/>
        <w:spacing w:after="0" w:line="360" w:lineRule="auto"/>
        <w:jc w:val="both"/>
        <w:rPr>
          <w:rFonts w:ascii="Times New Roman" w:hAnsi="Times New Roman" w:cs="Times New Roman"/>
          <w:sz w:val="24"/>
          <w:szCs w:val="24"/>
          <w:lang w:val="pt-PT"/>
        </w:rPr>
      </w:pPr>
    </w:p>
    <w:p w14:paraId="4433C06A" w14:textId="77777777" w:rsidR="001837C5"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ab/>
      </w:r>
      <w:r>
        <w:rPr>
          <w:rFonts w:ascii="Times New Roman" w:hAnsi="Times New Roman" w:cs="Times New Roman"/>
          <w:sz w:val="24"/>
          <w:szCs w:val="24"/>
          <w:lang w:val="pt-PT"/>
        </w:rPr>
        <w:t>Conforme Pereira  (2010 apud Locker, 1988), as doenças bucais são descritas como fatores geradores de três espécies de danos: dor, desconforto, insatisfação com a forma física e limitação para as atividades profissionais. Estas consequências foram consideradas fatores determinantes de diminuição das condições físicas, psicológica e social do individuo. Conclui que, mesmo o dano, quanto as limitações causadas por ele podem criar limitação diretamente e assim, fazer com que a pessoa perca sua qualidade de vida.</w:t>
      </w:r>
      <w:r w:rsidR="001837C5">
        <w:rPr>
          <w:rFonts w:ascii="Times New Roman" w:hAnsi="Times New Roman" w:cs="Times New Roman"/>
          <w:sz w:val="24"/>
          <w:szCs w:val="24"/>
          <w:lang w:val="pt-PT"/>
        </w:rPr>
        <w:tab/>
      </w:r>
    </w:p>
    <w:p w14:paraId="10696DD0" w14:textId="77777777"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Costa (2004) apresenta diretrizes apontadas para organização da atenção em saúde bucal, em vários níveis de atenção, demonstrando uma visão de saúde não focada apenas na assistência aos doentes, mas também na promoção da boa qualidade de vida e intervenção nos fatores que a colocam em risco. A ação preventiva traz consigo uma possibilidade de humanização do processo de elaboração de ações e serviços de saúde.</w:t>
      </w:r>
    </w:p>
    <w:p w14:paraId="37A68D18" w14:textId="24B2A2E4" w:rsidR="00B70FD3" w:rsidRDefault="00B70FD3" w:rsidP="0057047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Barbieri e Rapoport (2009) traz em seu estudo fatores que demonstram alguns problemas que podem afetar a saúde bucal, como a vida social, a alimentação, o desempenho das atividades diárias e o bem estar da pessoa, demonstrando a diminuição do nível de qualidade de vida.</w:t>
      </w:r>
    </w:p>
    <w:p w14:paraId="0B7FA4F8" w14:textId="741FC6D6" w:rsidR="00B70FD3" w:rsidRPr="001837C5" w:rsidRDefault="00B70FD3" w:rsidP="0057047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Locker (1997) em seu estudo, compara que a qualidade de vida e saúde bucal em alguns fatores, tais como: dor de dente e desconforto, aspectos funcionais, correlacionados à capacidade de mastigar e ingerir alimentos sem sentir dor, assim como falar e conseguir verbalizar de forma compreensível, aspectos psicológicos inerentes à forma física e autoestima, por fim, o convívio social, que espelham na vida em sociedade e na comunicação como as pessoas que convivem com esse individuo.</w:t>
      </w:r>
    </w:p>
    <w:p w14:paraId="4654BB8D" w14:textId="6D3EFE67" w:rsidR="00E4387A" w:rsidRPr="00E4387A" w:rsidRDefault="00B70FD3"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Os agravos e eventos bucais causam danos ou prejuízos que podem levar diretamente a incapacidade ou expressarem os seguintes sintomas: dor, desconforto, limitação funcional e insatisfação com a aparência. Esses sintomas podem desencadear limitações físicas, psicológicas ou sociais e consequentemente incapacidade. (PEREIRA, 2010, p.17).</w:t>
      </w:r>
    </w:p>
    <w:p w14:paraId="3BABDEF9" w14:textId="3201FAD6" w:rsidR="00B70FD3" w:rsidRPr="00264FAB" w:rsidRDefault="001837C5" w:rsidP="00D55BA3">
      <w:pPr>
        <w:widowControl w:val="0"/>
        <w:tabs>
          <w:tab w:val="left" w:pos="1134"/>
        </w:tabs>
        <w:autoSpaceDE w:val="0"/>
        <w:autoSpaceDN w:val="0"/>
        <w:adjustRightInd w:val="0"/>
        <w:spacing w:after="0" w:line="360" w:lineRule="auto"/>
        <w:ind w:firstLine="1134"/>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t xml:space="preserve">                   </w:t>
      </w:r>
    </w:p>
    <w:p w14:paraId="0E9F0F9B" w14:textId="77777777" w:rsidR="001837C5" w:rsidRDefault="001837C5" w:rsidP="00D55BA3">
      <w:pPr>
        <w:widowControl w:val="0"/>
        <w:autoSpaceDE w:val="0"/>
        <w:autoSpaceDN w:val="0"/>
        <w:adjustRightInd w:val="0"/>
        <w:spacing w:after="0" w:line="360" w:lineRule="auto"/>
        <w:ind w:firstLine="1134"/>
        <w:jc w:val="both"/>
        <w:rPr>
          <w:rFonts w:ascii="Times New Roman" w:hAnsi="Times New Roman" w:cs="Times New Roman"/>
          <w:sz w:val="20"/>
          <w:szCs w:val="20"/>
          <w:lang w:val="pt-PT"/>
        </w:rPr>
      </w:pPr>
    </w:p>
    <w:p w14:paraId="0726618A" w14:textId="77777777" w:rsidR="00B70FD3" w:rsidRDefault="00D55BA3" w:rsidP="00D55BA3">
      <w:pPr>
        <w:widowControl w:val="0"/>
        <w:autoSpaceDE w:val="0"/>
        <w:autoSpaceDN w:val="0"/>
        <w:adjustRightInd w:val="0"/>
        <w:spacing w:after="0" w:line="360" w:lineRule="auto"/>
        <w:jc w:val="both"/>
        <w:rPr>
          <w:rFonts w:ascii="Times New Roman" w:hAnsi="Times New Roman" w:cs="Times New Roman"/>
          <w:b/>
          <w:bCs/>
          <w:sz w:val="24"/>
          <w:szCs w:val="24"/>
          <w:lang w:val="pt-PT"/>
        </w:rPr>
      </w:pPr>
      <w:r>
        <w:rPr>
          <w:rFonts w:ascii="Times New Roman" w:hAnsi="Times New Roman" w:cs="Times New Roman"/>
          <w:b/>
          <w:bCs/>
          <w:sz w:val="24"/>
          <w:szCs w:val="24"/>
          <w:lang w:val="pt-PT"/>
        </w:rPr>
        <w:t xml:space="preserve">2.3 </w:t>
      </w:r>
      <w:r w:rsidR="00B70FD3">
        <w:rPr>
          <w:rFonts w:ascii="Times New Roman" w:hAnsi="Times New Roman" w:cs="Times New Roman"/>
          <w:b/>
          <w:bCs/>
          <w:sz w:val="24"/>
          <w:szCs w:val="24"/>
          <w:lang w:val="pt-PT"/>
        </w:rPr>
        <w:t>SAÚDE BUCAL NO DECORRER DA VIDA</w:t>
      </w:r>
    </w:p>
    <w:p w14:paraId="66788F65" w14:textId="77777777" w:rsidR="00D55BA3" w:rsidRDefault="00D55BA3" w:rsidP="00D55BA3">
      <w:pPr>
        <w:widowControl w:val="0"/>
        <w:autoSpaceDE w:val="0"/>
        <w:autoSpaceDN w:val="0"/>
        <w:adjustRightInd w:val="0"/>
        <w:spacing w:after="0" w:line="360" w:lineRule="auto"/>
        <w:jc w:val="both"/>
        <w:rPr>
          <w:rFonts w:ascii="Times New Roman" w:hAnsi="Times New Roman" w:cs="Times New Roman"/>
          <w:sz w:val="24"/>
          <w:szCs w:val="24"/>
          <w:lang w:val="pt-PT"/>
        </w:rPr>
      </w:pPr>
    </w:p>
    <w:p w14:paraId="3A221299" w14:textId="166D04C4"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O indivíduo ao atingir a idade adulta, é caracterizado no momento de plena atividade no mercado de trabalho. E na atual situação socioeconômica do brasileiro, demonstrando a alta competitividade e o alto número de desemprego, não basta somente competência, mas também a figura física do indivíduo se torna indispensável para o mesmo conseguir uma vaga de emprego no mercado de trabalho. Nesse contexto, a preocupação dos adultos com a estética da boca, está crescendo cada vez mais, por conta dos requisitos que os empregadores empoem aos c</w:t>
      </w:r>
      <w:r w:rsidR="00E4387A">
        <w:rPr>
          <w:rFonts w:ascii="Times New Roman" w:hAnsi="Times New Roman" w:cs="Times New Roman"/>
          <w:sz w:val="24"/>
          <w:szCs w:val="24"/>
          <w:lang w:val="pt-PT"/>
        </w:rPr>
        <w:t>andidatos a uma vaga de emprego</w:t>
      </w:r>
      <w:r>
        <w:rPr>
          <w:rFonts w:ascii="Times New Roman" w:hAnsi="Times New Roman" w:cs="Times New Roman"/>
          <w:sz w:val="24"/>
          <w:szCs w:val="24"/>
          <w:lang w:val="pt-PT"/>
        </w:rPr>
        <w:t xml:space="preserve"> (PEREIRA, 2010, p. 24).</w:t>
      </w:r>
    </w:p>
    <w:p w14:paraId="4830498E" w14:textId="1E07AD81" w:rsidR="00B70FD3" w:rsidRDefault="00B70FD3"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O desenvolvimento do indivíduo é um fator de grande importância quando se almeja uma melhoria da condição de saúde bucal da população e, consequentemente, a qualidade de vida. Vargas (1998), cita as peculiaridades inerentes a cada fase do desenvolvimento da pessoa, classificando os indivíduos em grupos de crianças,</w:t>
      </w:r>
      <w:r w:rsidR="00E4387A">
        <w:rPr>
          <w:rFonts w:ascii="Times New Roman" w:hAnsi="Times New Roman" w:cs="Times New Roman"/>
          <w:sz w:val="20"/>
          <w:szCs w:val="20"/>
          <w:lang w:val="pt-PT"/>
        </w:rPr>
        <w:t xml:space="preserve"> adolescentes, adultos e idosos</w:t>
      </w:r>
      <w:r>
        <w:rPr>
          <w:rFonts w:ascii="Times New Roman" w:hAnsi="Times New Roman" w:cs="Times New Roman"/>
          <w:sz w:val="20"/>
          <w:szCs w:val="20"/>
          <w:lang w:val="pt-PT"/>
        </w:rPr>
        <w:t xml:space="preserve">(PEREIRA, 2010, p.20). </w:t>
      </w:r>
    </w:p>
    <w:p w14:paraId="7F829B7B" w14:textId="77777777" w:rsidR="00B70FD3" w:rsidRDefault="00B70FD3" w:rsidP="00D55BA3">
      <w:pPr>
        <w:widowControl w:val="0"/>
        <w:autoSpaceDE w:val="0"/>
        <w:autoSpaceDN w:val="0"/>
        <w:adjustRightInd w:val="0"/>
        <w:spacing w:after="0" w:line="240" w:lineRule="auto"/>
        <w:ind w:firstLine="1134"/>
        <w:jc w:val="both"/>
        <w:rPr>
          <w:rFonts w:ascii="Times New Roman" w:hAnsi="Times New Roman" w:cs="Times New Roman"/>
          <w:sz w:val="20"/>
          <w:szCs w:val="20"/>
          <w:lang w:val="pt-PT"/>
        </w:rPr>
      </w:pPr>
    </w:p>
    <w:p w14:paraId="5093C826" w14:textId="2FC22B2D"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Segundo Pereira (2010 apud Assunção Jr, 2000), independentemente da idade do individuo, as doenças bucais provocam consequências negativas na autoestima da pessoa, oque também repercute sobre a qualidade de vida do mesmo. Alguns estudos mostram que os grupos etários se distinguem quanto à percepção dos impactos gerados pelos agravos sobre a qualidade de vida, ressaltando ainda, que crianças e indivíduos ente 11 e 18 anos, passam a ter uma visão critica de si mesmos e do restante do mundo, devido à fase onde o seu desenvolvimento físico e psicológico em que se encontram, e que as pessoas mais velhas, em principal os institucionalizados e os dependentes, passam a ter uma v</w:t>
      </w:r>
      <w:r w:rsidR="001837C5">
        <w:rPr>
          <w:rFonts w:ascii="Times New Roman" w:hAnsi="Times New Roman" w:cs="Times New Roman"/>
          <w:sz w:val="24"/>
          <w:szCs w:val="24"/>
          <w:lang w:val="pt-PT"/>
        </w:rPr>
        <w:t xml:space="preserve">isão crítica mais            </w:t>
      </w:r>
      <w:r>
        <w:rPr>
          <w:rFonts w:ascii="Times New Roman" w:hAnsi="Times New Roman" w:cs="Times New Roman"/>
          <w:sz w:val="24"/>
          <w:szCs w:val="24"/>
          <w:lang w:val="pt-PT"/>
        </w:rPr>
        <w:t>limitada.</w:t>
      </w:r>
    </w:p>
    <w:p w14:paraId="50724D6B" w14:textId="61BC96F3"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Segundo Pereira (2010 apud VARGAS; CRALL; SHNEIDER, 1998),  durante os primeiros anos de vida, a carie dentária é identificada como sendo uma das doenças bucais mais comum, que não é passível de regressão espontânea ou por outro meio de intervenção farmacológica em um curto prazo. A cárie está presente em cerca de 59% a 89% das crianças </w:t>
      </w:r>
      <w:r>
        <w:rPr>
          <w:rFonts w:ascii="Times New Roman" w:hAnsi="Times New Roman" w:cs="Times New Roman"/>
          <w:sz w:val="24"/>
          <w:szCs w:val="24"/>
          <w:lang w:val="pt-PT"/>
        </w:rPr>
        <w:lastRenderedPageBreak/>
        <w:t>no período em que estão na escola, nos países subdesenvolvidos, como também possui grande ocorrência entre as crianças da Ásia e latino-americanas (PETERSEN, 2003). Nos estados brasileiros, a cárie está presente em cerca de 28% das crianças entre 17 e 39 meses de idade, sendo que este número pôde chegar a 58,3% aos 6 anos de idade. Entre os indivíduos de 11 anos, 69% possuem ao menos um dente permanente com a presença de cárie (BRASIL, 2004).</w:t>
      </w:r>
    </w:p>
    <w:p w14:paraId="4C10E620" w14:textId="08987930" w:rsidR="00B70FD3" w:rsidRDefault="00B70FD3" w:rsidP="0057047E">
      <w:pPr>
        <w:widowControl w:val="0"/>
        <w:autoSpaceDE w:val="0"/>
        <w:autoSpaceDN w:val="0"/>
        <w:adjustRightInd w:val="0"/>
        <w:spacing w:after="0" w:line="240" w:lineRule="auto"/>
        <w:ind w:left="2268" w:firstLine="709"/>
        <w:jc w:val="both"/>
        <w:rPr>
          <w:rFonts w:ascii="Times New Roman" w:hAnsi="Times New Roman" w:cs="Times New Roman"/>
          <w:sz w:val="20"/>
          <w:szCs w:val="20"/>
          <w:lang w:val="pt-PT"/>
        </w:rPr>
      </w:pPr>
      <w:r>
        <w:rPr>
          <w:rFonts w:ascii="Times New Roman" w:hAnsi="Times New Roman" w:cs="Times New Roman"/>
          <w:sz w:val="20"/>
          <w:szCs w:val="20"/>
          <w:lang w:val="pt-PT"/>
        </w:rPr>
        <w:t>A saúde bucal envolve aspectos objetivos e subjetivos e decorre de um complexo causal onde estão envolvidas muitas variáveis apenas algumas se encontram no campo de competências dos profissionais da saúde bucal, e em número ainda menor demonstra diretamente ao trabalho propriamente odontólogo. Dessa forma, os níveis de saúde bucal de diferentes populações se definem fora do âmbito clínico cirúrgico, marca tão característica da prática odontológic</w:t>
      </w:r>
      <w:r w:rsidR="00E4387A">
        <w:rPr>
          <w:rFonts w:ascii="Times New Roman" w:hAnsi="Times New Roman" w:cs="Times New Roman"/>
          <w:sz w:val="20"/>
          <w:szCs w:val="20"/>
          <w:lang w:val="pt-PT"/>
        </w:rPr>
        <w:t>a desde as origens mais remotas</w:t>
      </w:r>
      <w:r>
        <w:rPr>
          <w:rFonts w:ascii="Times New Roman" w:hAnsi="Times New Roman" w:cs="Times New Roman"/>
          <w:sz w:val="20"/>
          <w:szCs w:val="20"/>
          <w:lang w:val="pt-PT"/>
        </w:rPr>
        <w:t xml:space="preserve"> (NARVAI; FRAZÃO 2008, p.21).</w:t>
      </w:r>
    </w:p>
    <w:p w14:paraId="3F5934D0" w14:textId="77777777" w:rsidR="00B70FD3" w:rsidRDefault="00B70FD3" w:rsidP="00D55BA3">
      <w:pPr>
        <w:widowControl w:val="0"/>
        <w:autoSpaceDE w:val="0"/>
        <w:autoSpaceDN w:val="0"/>
        <w:adjustRightInd w:val="0"/>
        <w:spacing w:after="0" w:line="240" w:lineRule="auto"/>
        <w:ind w:firstLine="1134"/>
        <w:jc w:val="both"/>
        <w:rPr>
          <w:rFonts w:ascii="Times New Roman" w:hAnsi="Times New Roman" w:cs="Times New Roman"/>
          <w:sz w:val="20"/>
          <w:szCs w:val="20"/>
          <w:lang w:val="pt-PT"/>
        </w:rPr>
      </w:pPr>
    </w:p>
    <w:p w14:paraId="5C4BEB93" w14:textId="77777777" w:rsidR="00B70FD3" w:rsidRPr="0057047E" w:rsidRDefault="00D55BA3" w:rsidP="00D55BA3">
      <w:pPr>
        <w:widowControl w:val="0"/>
        <w:autoSpaceDE w:val="0"/>
        <w:autoSpaceDN w:val="0"/>
        <w:adjustRightInd w:val="0"/>
        <w:spacing w:after="0" w:line="240" w:lineRule="auto"/>
        <w:jc w:val="both"/>
        <w:rPr>
          <w:rFonts w:ascii="Times New Roman" w:hAnsi="Times New Roman" w:cs="Times New Roman"/>
          <w:bCs/>
          <w:sz w:val="24"/>
          <w:szCs w:val="24"/>
          <w:lang w:val="pt-PT"/>
        </w:rPr>
      </w:pPr>
      <w:r w:rsidRPr="0057047E">
        <w:rPr>
          <w:rFonts w:ascii="Times New Roman" w:hAnsi="Times New Roman" w:cs="Times New Roman"/>
          <w:bCs/>
          <w:sz w:val="24"/>
          <w:szCs w:val="24"/>
          <w:lang w:val="pt-PT"/>
        </w:rPr>
        <w:t xml:space="preserve">2.4 </w:t>
      </w:r>
      <w:r w:rsidR="00B70FD3" w:rsidRPr="0057047E">
        <w:rPr>
          <w:rFonts w:ascii="Times New Roman" w:hAnsi="Times New Roman" w:cs="Times New Roman"/>
          <w:bCs/>
          <w:sz w:val="24"/>
          <w:szCs w:val="24"/>
          <w:lang w:val="pt-PT"/>
        </w:rPr>
        <w:t>DOENÇAS BUCAIS MAIS COMUNS</w:t>
      </w:r>
    </w:p>
    <w:p w14:paraId="67994256" w14:textId="77777777" w:rsidR="00B70FD3" w:rsidRDefault="00B70FD3" w:rsidP="00D55BA3">
      <w:pPr>
        <w:widowControl w:val="0"/>
        <w:autoSpaceDE w:val="0"/>
        <w:autoSpaceDN w:val="0"/>
        <w:adjustRightInd w:val="0"/>
        <w:spacing w:after="0" w:line="240" w:lineRule="auto"/>
        <w:ind w:firstLine="1134"/>
        <w:jc w:val="both"/>
        <w:rPr>
          <w:rFonts w:ascii="Times New Roman" w:hAnsi="Times New Roman" w:cs="Times New Roman"/>
          <w:sz w:val="20"/>
          <w:szCs w:val="20"/>
          <w:lang w:val="pt-PT"/>
        </w:rPr>
      </w:pPr>
    </w:p>
    <w:p w14:paraId="7D92D892" w14:textId="77777777" w:rsidR="006D696D" w:rsidRDefault="006D696D" w:rsidP="00D55BA3">
      <w:pPr>
        <w:widowControl w:val="0"/>
        <w:autoSpaceDE w:val="0"/>
        <w:autoSpaceDN w:val="0"/>
        <w:adjustRightInd w:val="0"/>
        <w:spacing w:after="0" w:line="240" w:lineRule="auto"/>
        <w:ind w:firstLine="1134"/>
        <w:jc w:val="both"/>
        <w:rPr>
          <w:rFonts w:ascii="Times New Roman" w:hAnsi="Times New Roman" w:cs="Times New Roman"/>
          <w:sz w:val="20"/>
          <w:szCs w:val="20"/>
          <w:lang w:val="pt-PT"/>
        </w:rPr>
      </w:pPr>
    </w:p>
    <w:p w14:paraId="058B587F" w14:textId="77777777" w:rsidR="00B70FD3" w:rsidRPr="006D696D" w:rsidRDefault="00B70FD3" w:rsidP="00D55BA3">
      <w:pPr>
        <w:widowControl w:val="0"/>
        <w:autoSpaceDE w:val="0"/>
        <w:autoSpaceDN w:val="0"/>
        <w:adjustRightInd w:val="0"/>
        <w:spacing w:after="0" w:line="360" w:lineRule="auto"/>
        <w:contextualSpacing/>
        <w:jc w:val="both"/>
        <w:rPr>
          <w:rFonts w:ascii="Times New Roman" w:hAnsi="Times New Roman" w:cs="Times New Roman"/>
          <w:bCs/>
          <w:sz w:val="24"/>
          <w:szCs w:val="24"/>
          <w:lang w:val="pt-PT"/>
        </w:rPr>
      </w:pPr>
      <w:r w:rsidRPr="006D696D">
        <w:rPr>
          <w:rFonts w:ascii="Times New Roman" w:hAnsi="Times New Roman" w:cs="Times New Roman"/>
          <w:sz w:val="24"/>
          <w:szCs w:val="24"/>
          <w:lang w:val="pt-PT"/>
        </w:rPr>
        <w:t>a) Cárie</w:t>
      </w:r>
    </w:p>
    <w:p w14:paraId="4DCEB290" w14:textId="0787D2C7"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Podemos iniciar citando a cárie dentária como um dos principais problemas de saúde bucal, que afeta tanto os militares no decorrer de sua carreira como também na população de vários países desenvolvidos quanto nos subdesenvolvidos.  As notícias referentes ao declínio na prevalência e a gravidade da carie, podem levar a conclusões precipitadas de queessa enfermidade não seria mais um problema de saúde pública. Não há fundamento frente a esta essa conclusão, pois a cárie continua sendo um grande problema de saúde pública, atingindo gravemente vastos contingentes populacionais, em todos os estados brasileiros e </w:t>
      </w:r>
      <w:r w:rsidR="00E4387A">
        <w:rPr>
          <w:rFonts w:ascii="Times New Roman" w:hAnsi="Times New Roman" w:cs="Times New Roman"/>
          <w:sz w:val="24"/>
          <w:szCs w:val="24"/>
          <w:lang w:val="pt-PT"/>
        </w:rPr>
        <w:t>também, em vários outros países</w:t>
      </w:r>
      <w:r>
        <w:rPr>
          <w:rFonts w:ascii="Times New Roman" w:hAnsi="Times New Roman" w:cs="Times New Roman"/>
          <w:sz w:val="24"/>
          <w:szCs w:val="24"/>
          <w:lang w:val="pt-PT"/>
        </w:rPr>
        <w:t xml:space="preserve"> (Narvai, 2008).</w:t>
      </w:r>
    </w:p>
    <w:p w14:paraId="0DA52185" w14:textId="71A23EB4"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desenvolvimento da cárie pode ser observado em três estágios: 1º o momento da infecção; 2º o período das alterações microbiológicas locais; 3º o processo de desmineralização do esmalte dentário, estágio que pode ser caracterizado nitidamente pelo                            </w:t>
      </w:r>
      <w:r w:rsidR="006D696D">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aparecimento de uma mancha esbranquiçada na área afetada. Caso, não seja feito nada em relação a esta mancha, a lesão poderá chegar a atingir tecidos com farta inervação, provocando forte dor e exigir, em estágios crônicos e mais graves - para os quais não tenha mais como, a possibilidade terapêutica do tratamento do canal dentário, a extração do órgão, causando uma perda dos dentes precocemente, incapacidades e  </w:t>
      </w:r>
      <w:r w:rsidR="00E4387A">
        <w:rPr>
          <w:rFonts w:ascii="Times New Roman" w:hAnsi="Times New Roman" w:cs="Times New Roman"/>
          <w:sz w:val="24"/>
          <w:szCs w:val="24"/>
          <w:lang w:val="pt-PT"/>
        </w:rPr>
        <w:t>uma necessidade de reabilitação</w:t>
      </w:r>
      <w:r>
        <w:rPr>
          <w:rFonts w:ascii="Times New Roman" w:hAnsi="Times New Roman" w:cs="Times New Roman"/>
          <w:sz w:val="24"/>
          <w:szCs w:val="24"/>
          <w:lang w:val="pt-PT"/>
        </w:rPr>
        <w:t xml:space="preserve"> (FRAZÃO, 2008).</w:t>
      </w:r>
    </w:p>
    <w:p w14:paraId="1303B1AD" w14:textId="22B899E6"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A criança ao atingir 12 anos, se torna uma referência para avaliar a ocorrência da carie na população infantil, momento em que aproximadamente 24 dentes permanentes já estão presentes. Antigamente, era comum encontrar, em várias regiões no Brasil, crianças de 12 anos com sete ou mais dentes atacados por cárie. Já hoje em dia, não se aceitam mais do que três dentes, em média afetados pela cárie. Essa foi uma das metas em saúde bucal fixadas pela Federação Dentária Intern</w:t>
      </w:r>
      <w:r w:rsidR="00E4387A">
        <w:rPr>
          <w:rFonts w:ascii="Times New Roman" w:hAnsi="Times New Roman" w:cs="Times New Roman"/>
          <w:sz w:val="24"/>
          <w:szCs w:val="24"/>
          <w:lang w:val="pt-PT"/>
        </w:rPr>
        <w:t>acional e a OMS para o ano 2000</w:t>
      </w:r>
      <w:r>
        <w:rPr>
          <w:rFonts w:ascii="Times New Roman" w:hAnsi="Times New Roman" w:cs="Times New Roman"/>
          <w:sz w:val="24"/>
          <w:szCs w:val="24"/>
          <w:lang w:val="pt-PT"/>
        </w:rPr>
        <w:t xml:space="preserve"> (FDI-WHO, 1982).</w:t>
      </w:r>
    </w:p>
    <w:p w14:paraId="0FC402D5" w14:textId="77777777" w:rsidR="006D696D" w:rsidRDefault="006D696D" w:rsidP="00D55BA3">
      <w:pPr>
        <w:widowControl w:val="0"/>
        <w:tabs>
          <w:tab w:val="left" w:pos="1136"/>
        </w:tabs>
        <w:autoSpaceDE w:val="0"/>
        <w:autoSpaceDN w:val="0"/>
        <w:adjustRightInd w:val="0"/>
        <w:spacing w:after="0" w:line="360" w:lineRule="auto"/>
        <w:ind w:firstLine="1134"/>
        <w:contextualSpacing/>
        <w:jc w:val="both"/>
        <w:rPr>
          <w:rFonts w:ascii="Times New Roman" w:hAnsi="Times New Roman" w:cs="Times New Roman"/>
          <w:sz w:val="24"/>
          <w:szCs w:val="24"/>
          <w:lang w:val="pt-PT"/>
        </w:rPr>
      </w:pPr>
    </w:p>
    <w:p w14:paraId="6DAD55B5" w14:textId="77777777" w:rsidR="006D696D" w:rsidRDefault="00B70FD3" w:rsidP="00D55BA3">
      <w:pPr>
        <w:widowControl w:val="0"/>
        <w:autoSpaceDE w:val="0"/>
        <w:autoSpaceDN w:val="0"/>
        <w:adjustRightInd w:val="0"/>
        <w:spacing w:after="0" w:line="360" w:lineRule="auto"/>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b) Afta</w:t>
      </w:r>
    </w:p>
    <w:p w14:paraId="2DBDE0AA" w14:textId="78A177E4"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É uma das ulcerações bucais mais comuns, A incidência varia de 20 a 60% dos indivíduos, dependendo da população estudada. O fator etiológico não é um consenso. O mais aceito é o fator imunológico, embora se discuta bastante as hipóteses infecciosas, alimentares e também traumáticas (no caso das lesões oriundas das punções anestésicas, por exemplo). São reconhecidos três tipos de úlceras aftosas: maiores (úlceras com mais de 1 cm e com curso clínico de 7 a 10 dias curando sem deixar cicatriz) e herpetiformes (grupos de pequenas úlceras recorrentes). Todas se apresentam como úlceras doloridas e recorrentes que não são precedidas por vesículas e com predileção de ocorrência em mucosa nã</w:t>
      </w:r>
      <w:r w:rsidR="00E4387A">
        <w:rPr>
          <w:rFonts w:ascii="Times New Roman" w:hAnsi="Times New Roman" w:cs="Times New Roman"/>
          <w:sz w:val="24"/>
          <w:szCs w:val="24"/>
          <w:lang w:val="pt-PT"/>
        </w:rPr>
        <w:t>o queratinizada (BRASIL, 2008).</w:t>
      </w:r>
    </w:p>
    <w:p w14:paraId="6860A06A" w14:textId="77777777" w:rsidR="006D696D" w:rsidRDefault="006D696D" w:rsidP="00D55BA3">
      <w:pPr>
        <w:widowControl w:val="0"/>
        <w:tabs>
          <w:tab w:val="left" w:pos="1136"/>
        </w:tabs>
        <w:autoSpaceDE w:val="0"/>
        <w:autoSpaceDN w:val="0"/>
        <w:adjustRightInd w:val="0"/>
        <w:spacing w:after="0" w:line="360" w:lineRule="auto"/>
        <w:ind w:firstLine="1134"/>
        <w:contextualSpacing/>
        <w:jc w:val="both"/>
        <w:rPr>
          <w:rFonts w:ascii="Times New Roman" w:hAnsi="Times New Roman" w:cs="Times New Roman"/>
          <w:sz w:val="24"/>
          <w:szCs w:val="24"/>
          <w:lang w:val="pt-PT"/>
        </w:rPr>
      </w:pPr>
    </w:p>
    <w:p w14:paraId="5DF6E75C" w14:textId="77777777" w:rsidR="006D696D" w:rsidRDefault="00B70FD3" w:rsidP="00D55BA3">
      <w:pPr>
        <w:widowControl w:val="0"/>
        <w:tabs>
          <w:tab w:val="left" w:pos="1136"/>
        </w:tabs>
        <w:autoSpaceDE w:val="0"/>
        <w:autoSpaceDN w:val="0"/>
        <w:adjustRightInd w:val="0"/>
        <w:spacing w:after="0" w:line="360" w:lineRule="auto"/>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c) Mucocele</w:t>
      </w:r>
    </w:p>
    <w:p w14:paraId="6416A0FE" w14:textId="6101F65B"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Mucocele são bolhas formadas pelo acúmulo de saliva na mucosa bucal. São lesões bastante frequentes e considerando as doenças de glândulas salivares, configuram-se como o agravo mais frequente na prática odontológica. Clinicamente se apresentam como aumento de volume, em forma de bolha, prioritariamente na mucosa interna do lábio e ventre lingual, de coloração azulada denotando </w:t>
      </w:r>
      <w:r w:rsidR="00E4387A">
        <w:rPr>
          <w:rFonts w:ascii="Times New Roman" w:hAnsi="Times New Roman" w:cs="Times New Roman"/>
          <w:sz w:val="24"/>
          <w:szCs w:val="24"/>
          <w:lang w:val="pt-PT"/>
        </w:rPr>
        <w:t>o conteúdo líquido salivar</w:t>
      </w:r>
      <w:r>
        <w:rPr>
          <w:rFonts w:ascii="Times New Roman" w:hAnsi="Times New Roman" w:cs="Times New Roman"/>
          <w:sz w:val="24"/>
          <w:szCs w:val="24"/>
          <w:lang w:val="pt-PT"/>
        </w:rPr>
        <w:t xml:space="preserve"> (BRASIL, 2008).</w:t>
      </w:r>
    </w:p>
    <w:p w14:paraId="532B11AE" w14:textId="77777777" w:rsidR="006D696D" w:rsidRPr="0057047E" w:rsidRDefault="006D696D"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p>
    <w:p w14:paraId="36521F25" w14:textId="77777777" w:rsidR="006D696D" w:rsidRPr="006D696D" w:rsidRDefault="00B70FD3" w:rsidP="00D55BA3">
      <w:pPr>
        <w:widowControl w:val="0"/>
        <w:autoSpaceDE w:val="0"/>
        <w:autoSpaceDN w:val="0"/>
        <w:adjustRightInd w:val="0"/>
        <w:spacing w:after="0" w:line="360" w:lineRule="auto"/>
        <w:contextualSpacing/>
        <w:jc w:val="both"/>
        <w:rPr>
          <w:rFonts w:ascii="Times New Roman" w:hAnsi="Times New Roman" w:cs="Times New Roman"/>
          <w:color w:val="000000"/>
          <w:sz w:val="24"/>
          <w:szCs w:val="24"/>
          <w:lang w:val="pt-PT"/>
        </w:rPr>
      </w:pPr>
      <w:r w:rsidRPr="006D696D">
        <w:rPr>
          <w:rFonts w:ascii="Times New Roman" w:hAnsi="Times New Roman" w:cs="Times New Roman"/>
          <w:color w:val="000000"/>
          <w:sz w:val="24"/>
          <w:szCs w:val="24"/>
          <w:lang w:val="pt-PT"/>
        </w:rPr>
        <w:t>d) Candidíase</w:t>
      </w:r>
    </w:p>
    <w:p w14:paraId="0781AD9B" w14:textId="3675B354"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É a infecção fúngica mais comum. As manifestações clínicas são variáveis, sendo a mais frequente aquela associada ao uso de prótese, com formação de área avermelhada na maioria assintomática, mas eventualmente o paciente pode se queixar de dor, ardência ou mais raramente, prurido. Algumas lesões associadas à candida podem manifestar-se de maneira aguda, com formação de pseudomembrana esbranqueida (candidíase pseudomembranosa devem ser sempre investigados cuidadosamente com relação à presença de doenças ou fatores locais que levem à imunossupressão tais como o uso de corticoides Aula s ou Aids, onde a lesão com pseudomembrana é uma das manif</w:t>
      </w:r>
      <w:r w:rsidR="00E4387A" w:rsidRPr="0057047E">
        <w:rPr>
          <w:rFonts w:ascii="Times New Roman" w:hAnsi="Times New Roman" w:cs="Times New Roman"/>
          <w:sz w:val="24"/>
          <w:szCs w:val="24"/>
          <w:lang w:val="pt-PT"/>
        </w:rPr>
        <w:t xml:space="preserve">estações bucais mais frequentes </w:t>
      </w:r>
      <w:r>
        <w:rPr>
          <w:rFonts w:ascii="Times New Roman" w:hAnsi="Times New Roman" w:cs="Times New Roman"/>
          <w:sz w:val="24"/>
          <w:szCs w:val="24"/>
          <w:lang w:val="pt-PT"/>
        </w:rPr>
        <w:t>(BRASIL, 2008).</w:t>
      </w:r>
    </w:p>
    <w:p w14:paraId="14EDBAA6" w14:textId="77777777" w:rsidR="006D696D" w:rsidRPr="0057047E" w:rsidRDefault="006D696D"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p>
    <w:p w14:paraId="7F1E33A3" w14:textId="77777777" w:rsidR="006D696D" w:rsidRPr="006D696D" w:rsidRDefault="00B70FD3" w:rsidP="00D55BA3">
      <w:pPr>
        <w:widowControl w:val="0"/>
        <w:tabs>
          <w:tab w:val="left" w:pos="1136"/>
        </w:tabs>
        <w:autoSpaceDE w:val="0"/>
        <w:autoSpaceDN w:val="0"/>
        <w:adjustRightInd w:val="0"/>
        <w:spacing w:after="0" w:line="360" w:lineRule="auto"/>
        <w:contextualSpacing/>
        <w:jc w:val="both"/>
        <w:rPr>
          <w:rFonts w:ascii="Times New Roman" w:hAnsi="Times New Roman" w:cs="Times New Roman"/>
          <w:color w:val="000000"/>
          <w:sz w:val="24"/>
          <w:szCs w:val="24"/>
          <w:lang w:val="pt-PT"/>
        </w:rPr>
      </w:pPr>
      <w:r w:rsidRPr="006D696D">
        <w:rPr>
          <w:rFonts w:ascii="Times New Roman" w:hAnsi="Times New Roman" w:cs="Times New Roman"/>
          <w:color w:val="000000"/>
          <w:sz w:val="24"/>
          <w:szCs w:val="24"/>
          <w:lang w:val="pt-PT"/>
        </w:rPr>
        <w:t>e) Líquen Plano</w:t>
      </w:r>
    </w:p>
    <w:p w14:paraId="44B00367" w14:textId="480D7025"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 xml:space="preserve">É uma doença mucocutânea inflamatória crônica. O líquen plano é uma doença que afeta homens e mulheres, com predomínio destas e preferencialmente na meia-idade. As manifestações bucais são numerosas linhas ou estrias brancas que se entrelaçam, produzindo um padrão em forma de rendilhado, que não cede à raspagem. A área mais comumente atingida é a mucosa da bochecha, mas também pode ser observada na língua, gengiva e nos lábios. A importância desta doença está relacionada com seu grau de frequência na população, sua </w:t>
      </w:r>
      <w:r w:rsidRPr="0057047E">
        <w:rPr>
          <w:rFonts w:ascii="Times New Roman" w:hAnsi="Times New Roman" w:cs="Times New Roman"/>
          <w:sz w:val="24"/>
          <w:szCs w:val="24"/>
          <w:lang w:val="pt-PT"/>
        </w:rPr>
        <w:lastRenderedPageBreak/>
        <w:t>multiplicidade de aspectos e sua possível correlação com malignidade. A forma de placa se assemelha clinicamente à leucoplasia, atingindo prrincipalmente o dorso da língua e a mucosa jugal. Na forma erosiva tem-se uma superfície irregular e acentuadamente eritematosa e umaplaca fibrinosa que cobre as áreas onde a erosão é mais pronunciada podendo sangrar devido à manipulação. Há também outra variante mais rara que se apresenta como bolhas ou vesículas, geralmente por um curto período de tempo e, que ao se romperem, deixam uma superfície ulcerada. As lesões de líquem plano podem ainda acometer a borda lateral da língua e menos comumente nas gengivas e face interna dos lábios. Na pele o líquem plano se apresenta como pápulas ou placas acinzentadas e até violáceas, planas e pruriginosas, que envolvem mais frequentemente as superfícies flexoras dos braços ou das pernas. Na maioria dos casos, a forma cutânea ocorre antes ou simultaneamente às lesões bucais. Muitos pacientes manifestam lesões exclus</w:t>
      </w:r>
      <w:r w:rsidR="00E4387A" w:rsidRPr="0057047E">
        <w:rPr>
          <w:rFonts w:ascii="Times New Roman" w:hAnsi="Times New Roman" w:cs="Times New Roman"/>
          <w:sz w:val="24"/>
          <w:szCs w:val="24"/>
          <w:lang w:val="pt-PT"/>
        </w:rPr>
        <w:t>ivamente na mucosa bucal</w:t>
      </w:r>
      <w:r w:rsidRPr="0057047E">
        <w:rPr>
          <w:rFonts w:ascii="Times New Roman" w:hAnsi="Times New Roman" w:cs="Times New Roman"/>
          <w:sz w:val="24"/>
          <w:szCs w:val="24"/>
          <w:lang w:val="pt-PT"/>
        </w:rPr>
        <w:t xml:space="preserve"> </w:t>
      </w:r>
      <w:r>
        <w:rPr>
          <w:rFonts w:ascii="Times New Roman" w:hAnsi="Times New Roman" w:cs="Times New Roman"/>
          <w:sz w:val="24"/>
          <w:szCs w:val="24"/>
          <w:lang w:val="pt-PT"/>
        </w:rPr>
        <w:t>(BRASIL, 2008).</w:t>
      </w:r>
    </w:p>
    <w:p w14:paraId="2F7F64C1" w14:textId="77777777" w:rsidR="009C16C8" w:rsidRPr="0057047E" w:rsidRDefault="009C16C8"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p>
    <w:p w14:paraId="45490DE4" w14:textId="77777777" w:rsidR="009C16C8" w:rsidRDefault="00B70FD3" w:rsidP="00D55BA3">
      <w:pPr>
        <w:widowControl w:val="0"/>
        <w:tabs>
          <w:tab w:val="left" w:pos="1136"/>
        </w:tabs>
        <w:autoSpaceDE w:val="0"/>
        <w:autoSpaceDN w:val="0"/>
        <w:adjustRightInd w:val="0"/>
        <w:spacing w:after="0" w:line="360" w:lineRule="auto"/>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f) Herpes labial</w:t>
      </w:r>
    </w:p>
    <w:p w14:paraId="1EA6AC23" w14:textId="3B7236AD"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É uma infecção viral recorrente e e contagiosa relacionada à imunossupressão. As lesões mais comuns do herpes labial são caracterizadas pela formação de visículas, úlceras e crostas recorrentes na região labial. Normalmente são auto limitantes na região labial. Normalmente são auto limitantes e desaparecem sem que seja necessária qualquer intervenção terapêutica. As lesões do herpes ganham relevância clínica a partir do momento em que o paciente passa a manifestar lesões maiores, com franca extensão pela área peri e intrabucal, com episódios que passam a ocorrer em intervalos cada vez menores de tempo. Tais características podem estar relacionadas à imunonossupressão e devem despertar no clínico, a necessidade de exames mais aprofundados e principalmente correlação com demais dados da anamnese. Não raro na Aids, a herpes passa a ser um agente etiológico frequente de lesões bucais ulceradas duradouras e de sintomatologia intensa. Na clínica odontopediátrica são comuns os episódios de primo-infecção, onde a criança, ao primeiro contato como o vírus, manifesta lesões extensas por toda a mucosa bucal e do lábio como  quadro sintomatológico típico das demais viroses da infância (Gengivo-estomatite herpétic</w:t>
      </w:r>
      <w:r w:rsidR="00E4387A">
        <w:rPr>
          <w:rFonts w:ascii="Times New Roman" w:hAnsi="Times New Roman" w:cs="Times New Roman"/>
          <w:sz w:val="24"/>
          <w:szCs w:val="24"/>
          <w:lang w:val="pt-PT"/>
        </w:rPr>
        <w:t xml:space="preserve">a primária) </w:t>
      </w:r>
      <w:r>
        <w:rPr>
          <w:rFonts w:ascii="Times New Roman" w:hAnsi="Times New Roman" w:cs="Times New Roman"/>
          <w:sz w:val="24"/>
          <w:szCs w:val="24"/>
          <w:lang w:val="pt-PT"/>
        </w:rPr>
        <w:t>(BRASIL, 2008).</w:t>
      </w:r>
    </w:p>
    <w:p w14:paraId="7B26790D" w14:textId="77777777" w:rsidR="009C16C8" w:rsidRDefault="009C16C8"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p>
    <w:p w14:paraId="0DFEECB9" w14:textId="77777777" w:rsidR="00B70FD3" w:rsidRDefault="00B70FD3" w:rsidP="00D55BA3">
      <w:pPr>
        <w:widowControl w:val="0"/>
        <w:tabs>
          <w:tab w:val="left" w:pos="1136"/>
        </w:tabs>
        <w:autoSpaceDE w:val="0"/>
        <w:autoSpaceDN w:val="0"/>
        <w:adjustRightInd w:val="0"/>
        <w:spacing w:after="0" w:line="360" w:lineRule="auto"/>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g) Câncer de boca</w:t>
      </w:r>
    </w:p>
    <w:p w14:paraId="07CC3892" w14:textId="3B69B609" w:rsid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câncer bucal representa um desfio quanto à sua prevenção, detecção, detecção precoce e também quanto à atenção em Saúde Bucal ao paciente portador. O Instituto Nacional do Câncer (INCA) estima uma ocorrência de 10.380 novos casos para homens e 3.780 novos casos em mulheres no ano de 2008 (total de 14.160 novos casos). As malignidades bucais configuram-se como o sétimo tipo de neoplasia maligna (excetuando-se os casos de pele não melanoma). </w:t>
      </w:r>
      <w:r>
        <w:rPr>
          <w:rFonts w:ascii="Times New Roman" w:hAnsi="Times New Roman" w:cs="Times New Roman"/>
          <w:sz w:val="24"/>
          <w:szCs w:val="24"/>
          <w:lang w:val="pt-PT"/>
        </w:rPr>
        <w:lastRenderedPageBreak/>
        <w:t>Segundo os dados do INCA, pode-se observar que ocorrerão aproximadamente 50% mais casos de neoplasias malignas da boca do que leucemias (n=9540) no país. A língua, o assoalho de boca e lábio são os sítios anatômicos de ocorrência mais comum, embora a maior parte dos pacientes apresenta-se para o tratamento em estágios bastante avançados de comprometimento. Tabagismo, etilismo e exposição solar excessiva são os fatores de risco mais relevantes para a ocorrência do câncer na boca. Para os casos de câncer de lábio, a orientação, a orientação quanto à exposição solar parece ser a estratégia de maior impacto na redução da ocorrência de lesões, aliada à identificação precoce de alterações teciduais com potencial de malignização. clinicamente as lesões se apresentam como ulceras não cicatrizável e indolores, de bordas endurecidas e fixas aos</w:t>
      </w:r>
      <w:r w:rsidR="006D696D">
        <w:rPr>
          <w:rFonts w:ascii="Times New Roman" w:hAnsi="Times New Roman" w:cs="Times New Roman"/>
          <w:sz w:val="24"/>
          <w:szCs w:val="24"/>
          <w:lang w:val="pt-PT"/>
        </w:rPr>
        <w:t xml:space="preserve"> tecidos e com duração superior </w:t>
      </w:r>
      <w:r w:rsidR="00E4387A">
        <w:rPr>
          <w:rFonts w:ascii="Times New Roman" w:hAnsi="Times New Roman" w:cs="Times New Roman"/>
          <w:sz w:val="24"/>
          <w:szCs w:val="24"/>
          <w:lang w:val="pt-PT"/>
        </w:rPr>
        <w:t>a 15 dias</w:t>
      </w:r>
      <w:r>
        <w:rPr>
          <w:rFonts w:ascii="Times New Roman" w:hAnsi="Times New Roman" w:cs="Times New Roman"/>
          <w:sz w:val="24"/>
          <w:szCs w:val="24"/>
          <w:lang w:val="pt-PT"/>
        </w:rPr>
        <w:t xml:space="preserve"> (BRASIL, 2008).</w:t>
      </w:r>
    </w:p>
    <w:p w14:paraId="4E63DB07" w14:textId="5CF7E67F" w:rsidR="009C16C8" w:rsidRPr="00B70FD3"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Pr>
          <w:rFonts w:ascii="Times New Roman" w:hAnsi="Times New Roman" w:cs="Times New Roman"/>
          <w:sz w:val="24"/>
          <w:szCs w:val="24"/>
          <w:lang w:val="pt-PT"/>
        </w:rPr>
        <w:tab/>
      </w:r>
    </w:p>
    <w:p w14:paraId="67D66C63" w14:textId="77777777" w:rsidR="00B70FD3" w:rsidRDefault="00D55BA3" w:rsidP="00D55BA3">
      <w:pPr>
        <w:widowControl w:val="0"/>
        <w:tabs>
          <w:tab w:val="left" w:pos="1134"/>
        </w:tabs>
        <w:autoSpaceDE w:val="0"/>
        <w:autoSpaceDN w:val="0"/>
        <w:adjustRightInd w:val="0"/>
        <w:spacing w:after="0"/>
        <w:rPr>
          <w:rFonts w:ascii="Times New Roman" w:hAnsi="Times New Roman" w:cs="Times New Roman"/>
          <w:b/>
          <w:sz w:val="24"/>
          <w:szCs w:val="24"/>
        </w:rPr>
      </w:pPr>
      <w:r>
        <w:rPr>
          <w:rFonts w:ascii="Times New Roman" w:hAnsi="Times New Roman" w:cs="Times New Roman"/>
          <w:b/>
          <w:sz w:val="24"/>
          <w:szCs w:val="24"/>
        </w:rPr>
        <w:t xml:space="preserve">3 </w:t>
      </w:r>
      <w:r w:rsidR="00B70FD3" w:rsidRPr="006D696D">
        <w:rPr>
          <w:rFonts w:ascii="Times New Roman" w:hAnsi="Times New Roman" w:cs="Times New Roman"/>
          <w:b/>
          <w:sz w:val="24"/>
          <w:szCs w:val="24"/>
        </w:rPr>
        <w:t>RESULTADOS E DISCUSSÃO</w:t>
      </w:r>
    </w:p>
    <w:p w14:paraId="280911CB" w14:textId="77777777" w:rsidR="00D55BA3" w:rsidRPr="006D696D" w:rsidRDefault="00D55BA3" w:rsidP="00D55BA3">
      <w:pPr>
        <w:widowControl w:val="0"/>
        <w:tabs>
          <w:tab w:val="left" w:pos="1134"/>
        </w:tabs>
        <w:autoSpaceDE w:val="0"/>
        <w:autoSpaceDN w:val="0"/>
        <w:adjustRightInd w:val="0"/>
        <w:spacing w:after="0"/>
        <w:rPr>
          <w:rFonts w:ascii="Times New Roman" w:hAnsi="Times New Roman" w:cs="Times New Roman"/>
          <w:b/>
          <w:sz w:val="24"/>
          <w:szCs w:val="24"/>
        </w:rPr>
      </w:pPr>
    </w:p>
    <w:p w14:paraId="7EFC6DF0" w14:textId="77777777" w:rsidR="009C16C8"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Segundo Pereira (2010) a principal discussão sobre o tema saúde bucal e qualidade de vida, é que a condição de saúde bucal, onde constitui um fator que interfere de forma direta na qualidade de vida das pessoas. Segundo a mesma a cárie dental e a doença periodontal são doenças que mais prevalecem na população mundial, e também é oque leva na maioria das vezes a perda dentária, consequência que mais impacta na questão da qualidade de vida do indivíduo, seja na questão física, psicológica, social ou profissional.</w:t>
      </w:r>
    </w:p>
    <w:p w14:paraId="35127E2F" w14:textId="77777777"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Pereira (2010) demonstra que analisando os problemas bucais, pode-se identificar na literatura uma grande quantidade de trabalhos que demonstram a influência marcante dos fatores sociais, culturais e econômicos na desigualdade da distribuição dos problemas referentes á saúde bucal na população menos favorecida, onde possuem maior chance de contrair doenças bucais. A forma como a população se insere no contexto revela varias formas de hábitos e estilos de vida, assim como a visão e a cautela que as pessoas possuem com a saúde bucal, que dependendo de como for, irá influenciar diretamente na qualidade de vida do indivíduo.</w:t>
      </w:r>
    </w:p>
    <w:p w14:paraId="217F9D6E" w14:textId="77777777" w:rsidR="00B70FD3" w:rsidRPr="0057047E" w:rsidRDefault="00B70FD3" w:rsidP="0057047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Existem vários problemas atualmente referente a prevenção as doenças bucais, alguns deles são a falta de informação adequada a pessoas com menor grau de instrução, a desigualdade social, resistência por parte de uma parcela da população em ter hábitos com a higiene bucal, falta de investimento frente a saúde pública, dentre outros. Por outro lado existem programas e instituições que se preocupam com essa questão. As mesmas desenvolvem programas de assistência á saúde bucal de crianças até aos mais idosos. Com isso, a população atual em comparação as de outras épocas passadas, veem demonstrando uma evolução com os cuidados com a saúde bucal, automaticamente interferindo na qualidade de vida do indivíduo positivamente.</w:t>
      </w:r>
    </w:p>
    <w:p w14:paraId="37C73BF6" w14:textId="5528A446" w:rsidR="00B70FD3" w:rsidRPr="0057047E" w:rsidRDefault="00B70FD3" w:rsidP="0057047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lastRenderedPageBreak/>
        <w:t>A polícia militar desenvolve programas de prevenção á saúde bucal de seus militares, fazendo com que os mesmos tenham uma saúde melhor, não somente a bucal mas também a saúde física, pois estudos demonstram que a partir de uma má higienização bucal, desencadeia</w:t>
      </w:r>
      <w:r w:rsidR="00263D36" w:rsidRPr="0057047E">
        <w:rPr>
          <w:rFonts w:ascii="Times New Roman" w:hAnsi="Times New Roman" w:cs="Times New Roman"/>
          <w:sz w:val="24"/>
          <w:szCs w:val="24"/>
          <w:lang w:val="pt-PT"/>
        </w:rPr>
        <w:t xml:space="preserve">-se </w:t>
      </w:r>
      <w:r w:rsidRPr="0057047E">
        <w:rPr>
          <w:rFonts w:ascii="Times New Roman" w:hAnsi="Times New Roman" w:cs="Times New Roman"/>
          <w:sz w:val="24"/>
          <w:szCs w:val="24"/>
          <w:lang w:val="pt-PT"/>
        </w:rPr>
        <w:t>uma serie de doenças, podendo até mesmo desenvolver alguns tipos de câncer. Com isso, os policiais militares contam com um corpo de profissionais da área da saúde que prestam um serviço de qualidade para com seus pares de muita importância, pois havendo uma prevenção com a saúde do policial o mesmo irá desenvolver suas atividades com maior qualidade.</w:t>
      </w:r>
    </w:p>
    <w:p w14:paraId="71540C47" w14:textId="275B31FF" w:rsidR="00B70FD3" w:rsidRPr="0057047E" w:rsidRDefault="00B70FD3" w:rsidP="0057047E">
      <w:pPr>
        <w:widowControl w:val="0"/>
        <w:tabs>
          <w:tab w:val="left" w:pos="1134"/>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 xml:space="preserve"> Não somente os militares podem contar com esse corpo clinico, mas também seus familiares, que podem se consultar com os profissionais contando também com uma gama de exames</w:t>
      </w:r>
      <w:r w:rsidR="009C16C8" w:rsidRPr="0057047E">
        <w:rPr>
          <w:rFonts w:ascii="Times New Roman" w:hAnsi="Times New Roman" w:cs="Times New Roman"/>
          <w:sz w:val="24"/>
          <w:szCs w:val="24"/>
          <w:lang w:val="pt-PT"/>
        </w:rPr>
        <w:t xml:space="preserve"> </w:t>
      </w:r>
      <w:r w:rsidRPr="0057047E">
        <w:rPr>
          <w:rFonts w:ascii="Times New Roman" w:hAnsi="Times New Roman" w:cs="Times New Roman"/>
          <w:sz w:val="24"/>
          <w:szCs w:val="24"/>
          <w:lang w:val="pt-PT"/>
        </w:rPr>
        <w:t xml:space="preserve">clínicos que a polícia militar dispõe para seus policiais e dependentes. A qualidade de vida dos policiais militares melhora sabendo que podem contar com sua instituição quando ocorrer de precisar </w:t>
      </w:r>
      <w:r w:rsidR="00263D36" w:rsidRPr="0057047E">
        <w:rPr>
          <w:rFonts w:ascii="Times New Roman" w:hAnsi="Times New Roman" w:cs="Times New Roman"/>
          <w:sz w:val="24"/>
          <w:szCs w:val="24"/>
          <w:lang w:val="pt-PT"/>
        </w:rPr>
        <w:t>de um atendimento médico para si</w:t>
      </w:r>
      <w:r w:rsidRPr="0057047E">
        <w:rPr>
          <w:rFonts w:ascii="Times New Roman" w:hAnsi="Times New Roman" w:cs="Times New Roman"/>
          <w:sz w:val="24"/>
          <w:szCs w:val="24"/>
          <w:lang w:val="pt-PT"/>
        </w:rPr>
        <w:t xml:space="preserve"> e para seus familiares.</w:t>
      </w:r>
      <w:r w:rsidR="009C16C8" w:rsidRPr="0057047E">
        <w:rPr>
          <w:rFonts w:ascii="Times New Roman" w:hAnsi="Times New Roman" w:cs="Times New Roman"/>
          <w:sz w:val="24"/>
          <w:szCs w:val="24"/>
          <w:lang w:val="pt-PT"/>
        </w:rPr>
        <w:tab/>
      </w:r>
      <w:r w:rsidR="009C16C8" w:rsidRPr="0057047E">
        <w:rPr>
          <w:rFonts w:ascii="Times New Roman" w:hAnsi="Times New Roman" w:cs="Times New Roman"/>
          <w:sz w:val="24"/>
          <w:szCs w:val="24"/>
          <w:lang w:val="pt-PT"/>
        </w:rPr>
        <w:tab/>
      </w:r>
      <w:r w:rsidRPr="0057047E">
        <w:rPr>
          <w:rFonts w:ascii="Times New Roman" w:hAnsi="Times New Roman" w:cs="Times New Roman"/>
          <w:sz w:val="24"/>
          <w:szCs w:val="24"/>
          <w:lang w:val="pt-PT"/>
        </w:rPr>
        <w:t xml:space="preserve">     </w:t>
      </w:r>
    </w:p>
    <w:p w14:paraId="4067FDAC" w14:textId="77777777"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Visto que cada grupo etário demonstra necessidades diferentes para com a saúde bucal, o estudo das ações em saúde bucal, é realizado por faixa etária. Para que possa ser direcionada as ações</w:t>
      </w:r>
      <w:r w:rsidR="009C16C8" w:rsidRPr="0057047E">
        <w:rPr>
          <w:rFonts w:ascii="Times New Roman" w:hAnsi="Times New Roman" w:cs="Times New Roman"/>
          <w:sz w:val="24"/>
          <w:szCs w:val="24"/>
          <w:lang w:val="pt-PT"/>
        </w:rPr>
        <w:t xml:space="preserve"> </w:t>
      </w:r>
      <w:r w:rsidRPr="0057047E">
        <w:rPr>
          <w:rFonts w:ascii="Times New Roman" w:hAnsi="Times New Roman" w:cs="Times New Roman"/>
          <w:sz w:val="24"/>
          <w:szCs w:val="24"/>
          <w:lang w:val="pt-PT"/>
        </w:rPr>
        <w:t>em cada grupo de idade da população, os profissionais da área da saúde familiar precisam fazer um levantamento da situação da saúde bucal de crianças, adolescentes, adultos e idosos, inseridos nas áreas de atuação dos profissionais</w:t>
      </w:r>
      <w:r w:rsidR="009C16C8" w:rsidRPr="0057047E">
        <w:rPr>
          <w:rFonts w:ascii="Times New Roman" w:hAnsi="Times New Roman" w:cs="Times New Roman"/>
          <w:sz w:val="24"/>
          <w:szCs w:val="24"/>
          <w:lang w:val="pt-PT"/>
        </w:rPr>
        <w:t xml:space="preserve"> </w:t>
      </w:r>
      <w:r w:rsidRPr="0057047E">
        <w:rPr>
          <w:rFonts w:ascii="Times New Roman" w:hAnsi="Times New Roman" w:cs="Times New Roman"/>
          <w:sz w:val="24"/>
          <w:szCs w:val="24"/>
          <w:lang w:val="pt-PT"/>
        </w:rPr>
        <w:t>odontólogos, para que possam detectar as maiores necessidades dos cidadãos e poder classificar os riscos e poder criar um planilha de tratamentos específicos para cada idade (BRASIL, 2008).</w:t>
      </w:r>
    </w:p>
    <w:p w14:paraId="707B8F51" w14:textId="77777777"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Assim, o profissional odontólogo agindo preventivamente, o mesmo poderá fazer com que famílias com menor condição social, possam ter uma melhor saúde bucal, que automaticamente ira refletir frente a qualidade de vida desses indivíduos, desde uma saúde melhor até mesmo na interação social.</w:t>
      </w:r>
    </w:p>
    <w:p w14:paraId="4F35FC7A" w14:textId="77777777" w:rsidR="009C16C8" w:rsidRPr="0057047E" w:rsidRDefault="009C16C8"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p>
    <w:p w14:paraId="6523BD71" w14:textId="77777777" w:rsidR="009C16C8" w:rsidRDefault="009C16C8" w:rsidP="00D55BA3">
      <w:pPr>
        <w:widowControl w:val="0"/>
        <w:autoSpaceDE w:val="0"/>
        <w:autoSpaceDN w:val="0"/>
        <w:adjustRightInd w:val="0"/>
        <w:spacing w:after="0" w:line="360" w:lineRule="auto"/>
        <w:ind w:firstLine="1134"/>
        <w:contextualSpacing/>
        <w:jc w:val="both"/>
        <w:rPr>
          <w:rFonts w:ascii="Times New Roman" w:hAnsi="Times New Roman" w:cs="Times New Roman"/>
          <w:color w:val="000000"/>
          <w:sz w:val="24"/>
          <w:szCs w:val="24"/>
        </w:rPr>
      </w:pPr>
    </w:p>
    <w:p w14:paraId="27279230" w14:textId="77777777" w:rsidR="00D55BA3" w:rsidRDefault="00D55BA3" w:rsidP="00D55BA3">
      <w:pPr>
        <w:widowControl w:val="0"/>
        <w:tabs>
          <w:tab w:val="left" w:pos="1136"/>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 CONSIDERAÇÕES FINAIS</w:t>
      </w:r>
    </w:p>
    <w:p w14:paraId="341FF1C3" w14:textId="77777777" w:rsidR="00D55BA3" w:rsidRDefault="00D55BA3" w:rsidP="00D55BA3">
      <w:pPr>
        <w:widowControl w:val="0"/>
        <w:tabs>
          <w:tab w:val="left" w:pos="1136"/>
        </w:tabs>
        <w:autoSpaceDE w:val="0"/>
        <w:autoSpaceDN w:val="0"/>
        <w:adjustRightInd w:val="0"/>
        <w:spacing w:after="0" w:line="360" w:lineRule="auto"/>
        <w:jc w:val="both"/>
        <w:rPr>
          <w:rFonts w:ascii="Times New Roman" w:hAnsi="Times New Roman" w:cs="Times New Roman"/>
          <w:b/>
          <w:sz w:val="24"/>
          <w:szCs w:val="24"/>
        </w:rPr>
      </w:pPr>
    </w:p>
    <w:p w14:paraId="488A93C4" w14:textId="77777777"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 xml:space="preserve">O presente estudo </w:t>
      </w:r>
      <w:r w:rsidR="009C16C8" w:rsidRPr="0057047E">
        <w:rPr>
          <w:rFonts w:ascii="Times New Roman" w:hAnsi="Times New Roman" w:cs="Times New Roman"/>
          <w:sz w:val="24"/>
          <w:szCs w:val="24"/>
          <w:lang w:val="pt-PT"/>
        </w:rPr>
        <w:t>demonstrou-nos</w:t>
      </w:r>
      <w:r w:rsidRPr="0057047E">
        <w:rPr>
          <w:rFonts w:ascii="Times New Roman" w:hAnsi="Times New Roman" w:cs="Times New Roman"/>
          <w:sz w:val="24"/>
          <w:szCs w:val="24"/>
          <w:lang w:val="pt-PT"/>
        </w:rPr>
        <w:t xml:space="preserve"> conhecer como a qualidade de vida pode ser afetada com uma má prevenção para com a saúde bucal. Doenças bucais como a cárie, doença periodontal dentre outras são consideradas doenças que mais atinge a população, impactando diretamente na qualidade de vida dos mesmos, devido o agravamento das </w:t>
      </w:r>
      <w:r w:rsidR="009C16C8" w:rsidRPr="0057047E">
        <w:rPr>
          <w:rFonts w:ascii="Times New Roman" w:hAnsi="Times New Roman" w:cs="Times New Roman"/>
          <w:sz w:val="24"/>
          <w:szCs w:val="24"/>
          <w:lang w:val="pt-PT"/>
        </w:rPr>
        <w:t>consequências</w:t>
      </w:r>
      <w:r w:rsidRPr="0057047E">
        <w:rPr>
          <w:rFonts w:ascii="Times New Roman" w:hAnsi="Times New Roman" w:cs="Times New Roman"/>
          <w:sz w:val="24"/>
          <w:szCs w:val="24"/>
          <w:lang w:val="pt-PT"/>
        </w:rPr>
        <w:t xml:space="preserve"> </w:t>
      </w:r>
      <w:r w:rsidR="009C16C8" w:rsidRPr="0057047E">
        <w:rPr>
          <w:rFonts w:ascii="Times New Roman" w:hAnsi="Times New Roman" w:cs="Times New Roman"/>
          <w:sz w:val="24"/>
          <w:szCs w:val="24"/>
          <w:lang w:val="pt-PT"/>
        </w:rPr>
        <w:t>advindas</w:t>
      </w:r>
      <w:r w:rsidRPr="0057047E">
        <w:rPr>
          <w:rFonts w:ascii="Times New Roman" w:hAnsi="Times New Roman" w:cs="Times New Roman"/>
          <w:sz w:val="24"/>
          <w:szCs w:val="24"/>
          <w:lang w:val="pt-PT"/>
        </w:rPr>
        <w:t xml:space="preserve"> da má prevenção, podendo acarretar na perda dentária. Com a exondontia marcou um </w:t>
      </w:r>
      <w:r w:rsidR="009C16C8" w:rsidRPr="0057047E">
        <w:rPr>
          <w:rFonts w:ascii="Times New Roman" w:hAnsi="Times New Roman" w:cs="Times New Roman"/>
          <w:sz w:val="24"/>
          <w:szCs w:val="24"/>
          <w:lang w:val="pt-PT"/>
        </w:rPr>
        <w:t>período</w:t>
      </w:r>
      <w:r w:rsidRPr="0057047E">
        <w:rPr>
          <w:rFonts w:ascii="Times New Roman" w:hAnsi="Times New Roman" w:cs="Times New Roman"/>
          <w:sz w:val="24"/>
          <w:szCs w:val="24"/>
          <w:lang w:val="pt-PT"/>
        </w:rPr>
        <w:t xml:space="preserve"> onde a odontologia curativa se perdurou por décadas no Brasil. Essa pratica </w:t>
      </w:r>
      <w:r w:rsidR="009C16C8" w:rsidRPr="0057047E">
        <w:rPr>
          <w:rFonts w:ascii="Times New Roman" w:hAnsi="Times New Roman" w:cs="Times New Roman"/>
          <w:sz w:val="24"/>
          <w:szCs w:val="24"/>
          <w:lang w:val="pt-PT"/>
        </w:rPr>
        <w:t>não</w:t>
      </w:r>
      <w:r w:rsidRPr="0057047E">
        <w:rPr>
          <w:rFonts w:ascii="Times New Roman" w:hAnsi="Times New Roman" w:cs="Times New Roman"/>
          <w:sz w:val="24"/>
          <w:szCs w:val="24"/>
          <w:lang w:val="pt-PT"/>
        </w:rPr>
        <w:t xml:space="preserve"> se extinguiu por conta das diferenças sociais, financeiras e culturais, que até os dia atuais motiva pessoas carentes a procurar tratamento, muitas das vezes quando não há mais oque se fazer, </w:t>
      </w:r>
      <w:r w:rsidRPr="0057047E">
        <w:rPr>
          <w:rFonts w:ascii="Times New Roman" w:hAnsi="Times New Roman" w:cs="Times New Roman"/>
          <w:sz w:val="24"/>
          <w:szCs w:val="24"/>
          <w:lang w:val="pt-PT"/>
        </w:rPr>
        <w:lastRenderedPageBreak/>
        <w:t xml:space="preserve">resultando na extração dentária. Com isso, ações estruturadas em um modelo de saúde curativa. Com agravação dos impactos gerados pelas mutilações dentárias na vida das pessoas, a </w:t>
      </w:r>
      <w:r w:rsidR="009C16C8" w:rsidRPr="0057047E">
        <w:rPr>
          <w:rFonts w:ascii="Times New Roman" w:hAnsi="Times New Roman" w:cs="Times New Roman"/>
          <w:sz w:val="24"/>
          <w:szCs w:val="24"/>
          <w:lang w:val="pt-PT"/>
        </w:rPr>
        <w:t>temática</w:t>
      </w:r>
      <w:r w:rsidRPr="0057047E">
        <w:rPr>
          <w:rFonts w:ascii="Times New Roman" w:hAnsi="Times New Roman" w:cs="Times New Roman"/>
          <w:sz w:val="24"/>
          <w:szCs w:val="24"/>
          <w:lang w:val="pt-PT"/>
        </w:rPr>
        <w:t xml:space="preserve"> que trata sobre a qualidade de vida vem ganhando mais espaço para </w:t>
      </w:r>
      <w:r w:rsidR="009C16C8" w:rsidRPr="0057047E">
        <w:rPr>
          <w:rFonts w:ascii="Times New Roman" w:hAnsi="Times New Roman" w:cs="Times New Roman"/>
          <w:sz w:val="24"/>
          <w:szCs w:val="24"/>
          <w:lang w:val="pt-PT"/>
        </w:rPr>
        <w:t>discussão</w:t>
      </w:r>
      <w:r w:rsidRPr="0057047E">
        <w:rPr>
          <w:rFonts w:ascii="Times New Roman" w:hAnsi="Times New Roman" w:cs="Times New Roman"/>
          <w:sz w:val="24"/>
          <w:szCs w:val="24"/>
          <w:lang w:val="pt-PT"/>
        </w:rPr>
        <w:t xml:space="preserve"> frente aos estudos sobre saúde bucal.</w:t>
      </w:r>
    </w:p>
    <w:p w14:paraId="07539C73" w14:textId="06C9D081"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 xml:space="preserve"> Profissionais do quadro de saúde da Polícia Militar vem criando planos e </w:t>
      </w:r>
      <w:r w:rsidR="009C16C8" w:rsidRPr="0057047E">
        <w:rPr>
          <w:rFonts w:ascii="Times New Roman" w:hAnsi="Times New Roman" w:cs="Times New Roman"/>
          <w:sz w:val="24"/>
          <w:szCs w:val="24"/>
          <w:lang w:val="pt-PT"/>
        </w:rPr>
        <w:t>projetos</w:t>
      </w:r>
      <w:r w:rsidRPr="0057047E">
        <w:rPr>
          <w:rFonts w:ascii="Times New Roman" w:hAnsi="Times New Roman" w:cs="Times New Roman"/>
          <w:sz w:val="24"/>
          <w:szCs w:val="24"/>
          <w:lang w:val="pt-PT"/>
        </w:rPr>
        <w:t xml:space="preserve"> que contribuem para a saúde de seus militares, em muitos estados existe um programa onde anualmente todos os militares devem se apresentar em uma junta médica para a realização de exames das mais variadas áreas da saúde, em destaque na área </w:t>
      </w:r>
      <w:r w:rsidR="009C16C8" w:rsidRPr="0057047E">
        <w:rPr>
          <w:rFonts w:ascii="Times New Roman" w:hAnsi="Times New Roman" w:cs="Times New Roman"/>
          <w:sz w:val="24"/>
          <w:szCs w:val="24"/>
          <w:lang w:val="pt-PT"/>
        </w:rPr>
        <w:t>odontológica</w:t>
      </w:r>
      <w:r w:rsidRPr="0057047E">
        <w:rPr>
          <w:rFonts w:ascii="Times New Roman" w:hAnsi="Times New Roman" w:cs="Times New Roman"/>
          <w:sz w:val="24"/>
          <w:szCs w:val="24"/>
          <w:lang w:val="pt-PT"/>
        </w:rPr>
        <w:t xml:space="preserve">, com a realização de exames </w:t>
      </w:r>
      <w:r w:rsidR="009C16C8" w:rsidRPr="0057047E">
        <w:rPr>
          <w:rFonts w:ascii="Times New Roman" w:hAnsi="Times New Roman" w:cs="Times New Roman"/>
          <w:sz w:val="24"/>
          <w:szCs w:val="24"/>
          <w:lang w:val="pt-PT"/>
        </w:rPr>
        <w:t>odontológicos</w:t>
      </w:r>
      <w:r w:rsidRPr="0057047E">
        <w:rPr>
          <w:rFonts w:ascii="Times New Roman" w:hAnsi="Times New Roman" w:cs="Times New Roman"/>
          <w:sz w:val="24"/>
          <w:szCs w:val="24"/>
          <w:lang w:val="pt-PT"/>
        </w:rPr>
        <w:t xml:space="preserve"> onde visa a detecção de </w:t>
      </w:r>
      <w:r w:rsidR="009C16C8" w:rsidRPr="0057047E">
        <w:rPr>
          <w:rFonts w:ascii="Times New Roman" w:hAnsi="Times New Roman" w:cs="Times New Roman"/>
          <w:sz w:val="24"/>
          <w:szCs w:val="24"/>
          <w:lang w:val="pt-PT"/>
        </w:rPr>
        <w:t>possíveis</w:t>
      </w:r>
      <w:r w:rsidRPr="0057047E">
        <w:rPr>
          <w:rFonts w:ascii="Times New Roman" w:hAnsi="Times New Roman" w:cs="Times New Roman"/>
          <w:sz w:val="24"/>
          <w:szCs w:val="24"/>
          <w:lang w:val="pt-PT"/>
        </w:rPr>
        <w:t xml:space="preserve"> fatores que acarretam doenças </w:t>
      </w:r>
      <w:r w:rsidR="009C16C8" w:rsidRPr="0057047E">
        <w:rPr>
          <w:rFonts w:ascii="Times New Roman" w:hAnsi="Times New Roman" w:cs="Times New Roman"/>
          <w:sz w:val="24"/>
          <w:szCs w:val="24"/>
          <w:lang w:val="pt-PT"/>
        </w:rPr>
        <w:t>odontológicas</w:t>
      </w:r>
      <w:r w:rsidRPr="0057047E">
        <w:rPr>
          <w:rFonts w:ascii="Times New Roman" w:hAnsi="Times New Roman" w:cs="Times New Roman"/>
          <w:sz w:val="24"/>
          <w:szCs w:val="24"/>
          <w:lang w:val="pt-PT"/>
        </w:rPr>
        <w:t>, visando também a prevenção para com a saúde do policia</w:t>
      </w:r>
      <w:r w:rsidR="009C16C8" w:rsidRPr="0057047E">
        <w:rPr>
          <w:rFonts w:ascii="Times New Roman" w:hAnsi="Times New Roman" w:cs="Times New Roman"/>
          <w:sz w:val="24"/>
          <w:szCs w:val="24"/>
          <w:lang w:val="pt-PT"/>
        </w:rPr>
        <w:t xml:space="preserve">l e com a qualidade </w:t>
      </w:r>
      <w:r w:rsidRPr="0057047E">
        <w:rPr>
          <w:rFonts w:ascii="Times New Roman" w:hAnsi="Times New Roman" w:cs="Times New Roman"/>
          <w:sz w:val="24"/>
          <w:szCs w:val="24"/>
          <w:lang w:val="pt-PT"/>
        </w:rPr>
        <w:t>de vida do mesmo onde vai refletir diretamente na atividade policial.</w:t>
      </w:r>
    </w:p>
    <w:p w14:paraId="2DA59DE1" w14:textId="2FADF7CD" w:rsidR="00B70FD3" w:rsidRPr="0057047E" w:rsidRDefault="00B70FD3" w:rsidP="0057047E">
      <w:pPr>
        <w:widowControl w:val="0"/>
        <w:tabs>
          <w:tab w:val="left" w:pos="1136"/>
        </w:tabs>
        <w:autoSpaceDE w:val="0"/>
        <w:autoSpaceDN w:val="0"/>
        <w:adjustRightInd w:val="0"/>
        <w:spacing w:after="0" w:line="360" w:lineRule="auto"/>
        <w:ind w:firstLine="703"/>
        <w:contextualSpacing/>
        <w:jc w:val="both"/>
        <w:rPr>
          <w:rFonts w:ascii="Times New Roman" w:hAnsi="Times New Roman" w:cs="Times New Roman"/>
          <w:sz w:val="24"/>
          <w:szCs w:val="24"/>
          <w:lang w:val="pt-PT"/>
        </w:rPr>
      </w:pPr>
      <w:r w:rsidRPr="0057047E">
        <w:rPr>
          <w:rFonts w:ascii="Times New Roman" w:hAnsi="Times New Roman" w:cs="Times New Roman"/>
          <w:sz w:val="24"/>
          <w:szCs w:val="24"/>
          <w:lang w:val="pt-PT"/>
        </w:rPr>
        <w:t xml:space="preserve"> Com isso, a criação de projetos de atuação frente a prevenção de doenças bucais, pode promover nos profissionais, uma maior conscientização para que não haja tantos </w:t>
      </w:r>
      <w:r w:rsidR="009C16C8" w:rsidRPr="0057047E">
        <w:rPr>
          <w:rFonts w:ascii="Times New Roman" w:hAnsi="Times New Roman" w:cs="Times New Roman"/>
          <w:sz w:val="24"/>
          <w:szCs w:val="24"/>
          <w:lang w:val="pt-PT"/>
        </w:rPr>
        <w:t>índices</w:t>
      </w:r>
      <w:r w:rsidRPr="0057047E">
        <w:rPr>
          <w:rFonts w:ascii="Times New Roman" w:hAnsi="Times New Roman" w:cs="Times New Roman"/>
          <w:sz w:val="24"/>
          <w:szCs w:val="24"/>
          <w:lang w:val="pt-PT"/>
        </w:rPr>
        <w:t xml:space="preserve"> de perdas dentárias e surgimento de doenças bucais, pois um profissional com a sua saúde em dia, a qualidade de suas atividades será alta em relação ao profissional que </w:t>
      </w:r>
      <w:r w:rsidR="009C16C8" w:rsidRPr="0057047E">
        <w:rPr>
          <w:rFonts w:ascii="Times New Roman" w:hAnsi="Times New Roman" w:cs="Times New Roman"/>
          <w:sz w:val="24"/>
          <w:szCs w:val="24"/>
          <w:lang w:val="pt-PT"/>
        </w:rPr>
        <w:t>não</w:t>
      </w:r>
      <w:r w:rsidRPr="0057047E">
        <w:rPr>
          <w:rFonts w:ascii="Times New Roman" w:hAnsi="Times New Roman" w:cs="Times New Roman"/>
          <w:sz w:val="24"/>
          <w:szCs w:val="24"/>
          <w:lang w:val="pt-PT"/>
        </w:rPr>
        <w:t xml:space="preserve"> possui uma atenção voltada para sua saúde. Quanto </w:t>
      </w:r>
      <w:r w:rsidR="009C16C8" w:rsidRPr="0057047E">
        <w:rPr>
          <w:rFonts w:ascii="Times New Roman" w:hAnsi="Times New Roman" w:cs="Times New Roman"/>
          <w:sz w:val="24"/>
          <w:szCs w:val="24"/>
          <w:lang w:val="pt-PT"/>
        </w:rPr>
        <w:t>maior</w:t>
      </w:r>
      <w:r w:rsidRPr="0057047E">
        <w:rPr>
          <w:rFonts w:ascii="Times New Roman" w:hAnsi="Times New Roman" w:cs="Times New Roman"/>
          <w:sz w:val="24"/>
          <w:szCs w:val="24"/>
          <w:lang w:val="pt-PT"/>
        </w:rPr>
        <w:t xml:space="preserve"> for o investimento na saúde do individuo maior será a qualidade no desempenho de qualquer atividade </w:t>
      </w:r>
      <w:r w:rsidR="009C16C8" w:rsidRPr="0057047E">
        <w:rPr>
          <w:rFonts w:ascii="Times New Roman" w:hAnsi="Times New Roman" w:cs="Times New Roman"/>
          <w:sz w:val="24"/>
          <w:szCs w:val="24"/>
          <w:lang w:val="pt-PT"/>
        </w:rPr>
        <w:t>profissional</w:t>
      </w:r>
      <w:r w:rsidRPr="0057047E">
        <w:rPr>
          <w:rFonts w:ascii="Times New Roman" w:hAnsi="Times New Roman" w:cs="Times New Roman"/>
          <w:sz w:val="24"/>
          <w:szCs w:val="24"/>
          <w:lang w:val="pt-PT"/>
        </w:rPr>
        <w:t xml:space="preserve"> que este irá desempenhar. Quanto menor for a distância do atendimento médico digno para com aquele cidadão com menor poder aquisitivo, maior será o retorno que esse </w:t>
      </w:r>
      <w:r w:rsidR="009C16C8" w:rsidRPr="0057047E">
        <w:rPr>
          <w:rFonts w:ascii="Times New Roman" w:hAnsi="Times New Roman" w:cs="Times New Roman"/>
          <w:sz w:val="24"/>
          <w:szCs w:val="24"/>
          <w:lang w:val="pt-PT"/>
        </w:rPr>
        <w:t>individuo</w:t>
      </w:r>
      <w:r w:rsidRPr="0057047E">
        <w:rPr>
          <w:rFonts w:ascii="Times New Roman" w:hAnsi="Times New Roman" w:cs="Times New Roman"/>
          <w:sz w:val="24"/>
          <w:szCs w:val="24"/>
          <w:lang w:val="pt-PT"/>
        </w:rPr>
        <w:t xml:space="preserve"> poderá propor para a sociedade.</w:t>
      </w:r>
    </w:p>
    <w:p w14:paraId="609A71B9" w14:textId="77777777" w:rsidR="0057047E" w:rsidRDefault="0057047E" w:rsidP="00D55BA3">
      <w:pPr>
        <w:widowControl w:val="0"/>
        <w:tabs>
          <w:tab w:val="left" w:pos="1136"/>
        </w:tabs>
        <w:autoSpaceDE w:val="0"/>
        <w:autoSpaceDN w:val="0"/>
        <w:adjustRightInd w:val="0"/>
        <w:spacing w:after="0" w:line="360" w:lineRule="auto"/>
        <w:jc w:val="both"/>
        <w:rPr>
          <w:rFonts w:ascii="Times New Roman" w:hAnsi="Times New Roman" w:cs="Times New Roman"/>
          <w:b/>
          <w:sz w:val="24"/>
          <w:szCs w:val="24"/>
        </w:rPr>
      </w:pPr>
    </w:p>
    <w:p w14:paraId="1E99EA16" w14:textId="1B608351" w:rsidR="00B70FD3" w:rsidRPr="00D55BA3" w:rsidRDefault="00D55BA3" w:rsidP="00D55BA3">
      <w:pPr>
        <w:widowControl w:val="0"/>
        <w:tabs>
          <w:tab w:val="left" w:pos="1136"/>
        </w:tabs>
        <w:autoSpaceDE w:val="0"/>
        <w:autoSpaceDN w:val="0"/>
        <w:adjustRightInd w:val="0"/>
        <w:spacing w:after="0" w:line="360" w:lineRule="auto"/>
        <w:jc w:val="both"/>
        <w:rPr>
          <w:rFonts w:ascii="Times New Roman" w:hAnsi="Times New Roman" w:cs="Times New Roman"/>
          <w:b/>
          <w:sz w:val="24"/>
          <w:szCs w:val="24"/>
        </w:rPr>
      </w:pPr>
      <w:r w:rsidRPr="00D55BA3">
        <w:rPr>
          <w:rFonts w:ascii="Times New Roman" w:hAnsi="Times New Roman" w:cs="Times New Roman"/>
          <w:b/>
          <w:sz w:val="24"/>
          <w:szCs w:val="24"/>
        </w:rPr>
        <w:t>5 REFERÊNCIAS</w:t>
      </w:r>
    </w:p>
    <w:p w14:paraId="1B2F5B40" w14:textId="77777777" w:rsidR="0057047E" w:rsidRDefault="0057047E" w:rsidP="00D55BA3">
      <w:pPr>
        <w:shd w:val="clear" w:color="auto" w:fill="FFFFFF"/>
        <w:spacing w:after="0" w:line="240" w:lineRule="auto"/>
        <w:textAlignment w:val="baseline"/>
        <w:rPr>
          <w:rFonts w:ascii="Times New Roman" w:eastAsia="Times New Roman" w:hAnsi="Times New Roman" w:cs="Times New Roman"/>
          <w:color w:val="212121"/>
          <w:sz w:val="24"/>
          <w:szCs w:val="24"/>
        </w:rPr>
      </w:pPr>
    </w:p>
    <w:p w14:paraId="11B602F8" w14:textId="04A7247C"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bookmarkStart w:id="0" w:name="_GoBack"/>
      <w:r w:rsidRPr="00B70F98">
        <w:rPr>
          <w:rFonts w:ascii="Times New Roman" w:eastAsia="Times New Roman" w:hAnsi="Times New Roman" w:cs="Times New Roman"/>
          <w:color w:val="212121"/>
          <w:sz w:val="24"/>
          <w:szCs w:val="24"/>
        </w:rPr>
        <w:t>BARBIERI, C.H;  RAPOPORT</w:t>
      </w:r>
      <w:r w:rsidRPr="00B70F98">
        <w:rPr>
          <w:rFonts w:ascii="Times New Roman" w:eastAsia="Times New Roman" w:hAnsi="Times New Roman" w:cs="Times New Roman"/>
          <w:b/>
          <w:color w:val="212121"/>
          <w:sz w:val="24"/>
          <w:szCs w:val="24"/>
        </w:rPr>
        <w:t xml:space="preserve">, A. Avaliação da qualidade de vida dos pacientes reabilitados com próteses implanto-muco-suportadas versus próteses totais </w:t>
      </w:r>
      <w:r w:rsidRPr="000918D1">
        <w:rPr>
          <w:rFonts w:ascii="Times New Roman" w:eastAsia="Times New Roman" w:hAnsi="Times New Roman" w:cs="Times New Roman"/>
          <w:b/>
          <w:color w:val="212121"/>
          <w:sz w:val="24"/>
          <w:szCs w:val="24"/>
        </w:rPr>
        <w:t>convencionais</w:t>
      </w:r>
      <w:r w:rsidRPr="00B70F98">
        <w:rPr>
          <w:rFonts w:ascii="Times New Roman" w:eastAsia="Times New Roman" w:hAnsi="Times New Roman" w:cs="Times New Roman"/>
          <w:color w:val="212121"/>
          <w:sz w:val="24"/>
          <w:szCs w:val="24"/>
        </w:rPr>
        <w:t>. Revista Brasileira Cirurgia Cabeça Pescoço, v,38, n2. p.84-87, abr-jun. 2009.</w:t>
      </w:r>
    </w:p>
    <w:p w14:paraId="0E9CA7AF"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2AD991E8" w14:textId="77777777" w:rsid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CAPA, F. </w:t>
      </w:r>
      <w:r w:rsidRPr="00B70F98">
        <w:rPr>
          <w:rFonts w:ascii="Times New Roman" w:eastAsia="Times New Roman" w:hAnsi="Times New Roman" w:cs="Times New Roman"/>
          <w:b/>
          <w:color w:val="212121"/>
          <w:sz w:val="24"/>
          <w:szCs w:val="24"/>
        </w:rPr>
        <w:t>O ponto de mutação</w:t>
      </w:r>
      <w:r w:rsidRPr="00B70F98">
        <w:rPr>
          <w:rFonts w:ascii="Times New Roman" w:eastAsia="Times New Roman" w:hAnsi="Times New Roman" w:cs="Times New Roman"/>
          <w:color w:val="212121"/>
          <w:sz w:val="24"/>
          <w:szCs w:val="24"/>
        </w:rPr>
        <w:t xml:space="preserve"> (the turning point). trad. Álvaro Cabral. São Paulo: Cultix, 1982. 447p.</w:t>
      </w:r>
    </w:p>
    <w:p w14:paraId="77BF46FF" w14:textId="77777777" w:rsidR="000918D1" w:rsidRPr="00B70F98" w:rsidRDefault="000918D1"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00139D0D"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COSTA, J.F.R. </w:t>
      </w:r>
      <w:r w:rsidRPr="00B70F98">
        <w:rPr>
          <w:rFonts w:ascii="Times New Roman" w:eastAsia="Times New Roman" w:hAnsi="Times New Roman" w:cs="Times New Roman"/>
          <w:b/>
          <w:color w:val="212121"/>
          <w:sz w:val="24"/>
          <w:szCs w:val="24"/>
        </w:rPr>
        <w:t xml:space="preserve">A política nacional de saúde bucal do Brasil: registro de uma conquista histórica. </w:t>
      </w:r>
      <w:r w:rsidRPr="00B70F98">
        <w:rPr>
          <w:rFonts w:ascii="Times New Roman" w:eastAsia="Times New Roman" w:hAnsi="Times New Roman" w:cs="Times New Roman"/>
          <w:color w:val="212121"/>
          <w:sz w:val="24"/>
          <w:szCs w:val="24"/>
        </w:rPr>
        <w:t>Brasília: Organização Panamericana da Saúde, 2004.</w:t>
      </w:r>
    </w:p>
    <w:p w14:paraId="0B7CAB4E"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48C48FED" w14:textId="37E9AD18" w:rsidR="00B70F98" w:rsidRPr="00B70F98" w:rsidRDefault="00D86A8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BRASIL.</w:t>
      </w:r>
      <w:r w:rsidR="00B70F98" w:rsidRPr="00B70F98">
        <w:rPr>
          <w:rFonts w:ascii="Times New Roman" w:eastAsia="Times New Roman" w:hAnsi="Times New Roman" w:cs="Times New Roman"/>
          <w:color w:val="212121"/>
          <w:sz w:val="24"/>
          <w:szCs w:val="24"/>
        </w:rPr>
        <w:t xml:space="preserve"> </w:t>
      </w:r>
      <w:r w:rsidR="00B70F98" w:rsidRPr="00B70F98">
        <w:rPr>
          <w:rFonts w:ascii="Times New Roman" w:eastAsia="Times New Roman" w:hAnsi="Times New Roman" w:cs="Times New Roman"/>
          <w:b/>
          <w:color w:val="212121"/>
          <w:sz w:val="24"/>
          <w:szCs w:val="24"/>
        </w:rPr>
        <w:t>Diretrizes da Política Nacional de Saúde Bucal</w:t>
      </w:r>
      <w:r w:rsidR="00B70F98" w:rsidRPr="00B70F98">
        <w:rPr>
          <w:rFonts w:ascii="Times New Roman" w:eastAsia="Times New Roman" w:hAnsi="Times New Roman" w:cs="Times New Roman"/>
          <w:color w:val="212121"/>
          <w:sz w:val="24"/>
          <w:szCs w:val="24"/>
        </w:rPr>
        <w:t xml:space="preserve">, 2004. </w:t>
      </w:r>
      <w:r w:rsidR="00B70F98" w:rsidRPr="000918D1">
        <w:rPr>
          <w:rFonts w:ascii="Times New Roman" w:eastAsia="Times New Roman" w:hAnsi="Times New Roman" w:cs="Times New Roman"/>
          <w:color w:val="212121"/>
          <w:sz w:val="24"/>
          <w:szCs w:val="24"/>
        </w:rPr>
        <w:t>Disponível</w:t>
      </w:r>
      <w:r w:rsidR="00B70F98" w:rsidRPr="00B70F98">
        <w:rPr>
          <w:rFonts w:ascii="Times New Roman" w:eastAsia="Times New Roman" w:hAnsi="Times New Roman" w:cs="Times New Roman"/>
          <w:color w:val="212121"/>
          <w:sz w:val="24"/>
          <w:szCs w:val="24"/>
        </w:rPr>
        <w:t xml:space="preserve"> em &lt;dab.saude.gov.br/portaldab/biblioteca.php?conteudo=pulicacoes/pnsb&gt; Acesso em 20/05/2018. </w:t>
      </w:r>
    </w:p>
    <w:p w14:paraId="37D24E42"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1A111577"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FRAZÃO,P.; NARVAI,P.C. </w:t>
      </w:r>
      <w:r w:rsidRPr="00B70F98">
        <w:rPr>
          <w:rFonts w:ascii="Times New Roman" w:eastAsia="Times New Roman" w:hAnsi="Times New Roman" w:cs="Times New Roman"/>
          <w:b/>
          <w:color w:val="212121"/>
          <w:sz w:val="24"/>
          <w:szCs w:val="24"/>
        </w:rPr>
        <w:t>Saúde Bucal no Brasil: Muito Além do Céu da Boca</w:t>
      </w:r>
      <w:r w:rsidRPr="00B70F98">
        <w:rPr>
          <w:rFonts w:ascii="Times New Roman" w:eastAsia="Times New Roman" w:hAnsi="Times New Roman" w:cs="Times New Roman"/>
          <w:color w:val="212121"/>
          <w:sz w:val="24"/>
          <w:szCs w:val="24"/>
        </w:rPr>
        <w:t>. Rio de Janeiro: Editora FIOCRUZ, 2008. Available from SciELO Books &lt;books.scielo.org&gt; Acesso em 20/03/2018. </w:t>
      </w:r>
    </w:p>
    <w:p w14:paraId="1C7147C1"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40DA8291" w14:textId="5FE7613E"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lastRenderedPageBreak/>
        <w:t>GOIÁS</w:t>
      </w:r>
      <w:r w:rsidR="00D86A88">
        <w:rPr>
          <w:rFonts w:ascii="Times New Roman" w:eastAsia="Times New Roman" w:hAnsi="Times New Roman" w:cs="Times New Roman"/>
          <w:b/>
          <w:color w:val="212121"/>
          <w:sz w:val="24"/>
          <w:szCs w:val="24"/>
        </w:rPr>
        <w:t>.</w:t>
      </w:r>
      <w:r w:rsidRPr="00B70F98">
        <w:rPr>
          <w:rFonts w:ascii="Times New Roman" w:eastAsia="Times New Roman" w:hAnsi="Times New Roman" w:cs="Times New Roman"/>
          <w:b/>
          <w:color w:val="212121"/>
          <w:sz w:val="24"/>
          <w:szCs w:val="24"/>
        </w:rPr>
        <w:t xml:space="preserve"> Saúde e Segurança Pública</w:t>
      </w:r>
      <w:r w:rsidR="00D86A88">
        <w:rPr>
          <w:rFonts w:ascii="Times New Roman" w:eastAsia="Times New Roman" w:hAnsi="Times New Roman" w:cs="Times New Roman"/>
          <w:color w:val="212121"/>
          <w:sz w:val="24"/>
          <w:szCs w:val="24"/>
        </w:rPr>
        <w:t>.</w:t>
      </w:r>
      <w:r w:rsidRPr="00B70F98">
        <w:rPr>
          <w:rFonts w:ascii="Times New Roman" w:eastAsia="Times New Roman" w:hAnsi="Times New Roman" w:cs="Times New Roman"/>
          <w:color w:val="212121"/>
          <w:sz w:val="24"/>
          <w:szCs w:val="24"/>
        </w:rPr>
        <w:t xml:space="preserve"> 2017. </w:t>
      </w:r>
      <w:r w:rsidRPr="000918D1">
        <w:rPr>
          <w:rFonts w:ascii="Times New Roman" w:eastAsia="Times New Roman" w:hAnsi="Times New Roman" w:cs="Times New Roman"/>
          <w:color w:val="212121"/>
          <w:sz w:val="24"/>
          <w:szCs w:val="24"/>
        </w:rPr>
        <w:t>Disponível</w:t>
      </w:r>
      <w:r w:rsidRPr="00B70F98">
        <w:rPr>
          <w:rFonts w:ascii="Times New Roman" w:eastAsia="Times New Roman" w:hAnsi="Times New Roman" w:cs="Times New Roman"/>
          <w:color w:val="212121"/>
          <w:sz w:val="24"/>
          <w:szCs w:val="24"/>
        </w:rPr>
        <w:t xml:space="preserve"> em &lt;https:/ead.pm.go.gov.br/course/view.php?id=164&gt; Acesso em 20/05/2018. </w:t>
      </w:r>
    </w:p>
    <w:p w14:paraId="19CFCB25"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53B11572"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LOCKER, D</w:t>
      </w:r>
      <w:r w:rsidRPr="00B70F98">
        <w:rPr>
          <w:rFonts w:ascii="Times New Roman" w:eastAsia="Times New Roman" w:hAnsi="Times New Roman" w:cs="Times New Roman"/>
          <w:b/>
          <w:color w:val="212121"/>
          <w:sz w:val="24"/>
          <w:szCs w:val="24"/>
        </w:rPr>
        <w:t>. Measuring oral health: a conceptual framework</w:t>
      </w:r>
      <w:r w:rsidRPr="00B70F98">
        <w:rPr>
          <w:rFonts w:ascii="Times New Roman" w:eastAsia="Times New Roman" w:hAnsi="Times New Roman" w:cs="Times New Roman"/>
          <w:color w:val="212121"/>
          <w:sz w:val="24"/>
          <w:szCs w:val="24"/>
        </w:rPr>
        <w:t>. Community Dent Health, v.5, p.3-18, 1998.</w:t>
      </w:r>
    </w:p>
    <w:p w14:paraId="4B90896F"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02F54B0F"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PEREIRA, A.L. </w:t>
      </w:r>
      <w:r w:rsidRPr="00B70F98">
        <w:rPr>
          <w:rFonts w:ascii="Times New Roman" w:eastAsia="Times New Roman" w:hAnsi="Times New Roman" w:cs="Times New Roman"/>
          <w:b/>
          <w:color w:val="212121"/>
          <w:sz w:val="24"/>
          <w:szCs w:val="24"/>
        </w:rPr>
        <w:t>Influência da Condição de Saúde Bucal Na Qualidade de Vida dos Indivíduos</w:t>
      </w:r>
      <w:r w:rsidRPr="00B70F98">
        <w:rPr>
          <w:rFonts w:ascii="Times New Roman" w:eastAsia="Times New Roman" w:hAnsi="Times New Roman" w:cs="Times New Roman"/>
          <w:color w:val="212121"/>
          <w:sz w:val="24"/>
          <w:szCs w:val="24"/>
        </w:rPr>
        <w:t xml:space="preserve"> ( Trabalho de conclusão de curso ). Minas Gerais: Universidade Federal de Minas Gerais, 2010.</w:t>
      </w:r>
    </w:p>
    <w:p w14:paraId="174D28DD"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0625526D"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PETERSEN, P.E</w:t>
      </w:r>
      <w:r w:rsidRPr="00B70F98">
        <w:rPr>
          <w:rFonts w:ascii="Times New Roman" w:eastAsia="Times New Roman" w:hAnsi="Times New Roman" w:cs="Times New Roman"/>
          <w:b/>
          <w:color w:val="212121"/>
          <w:sz w:val="24"/>
          <w:szCs w:val="24"/>
        </w:rPr>
        <w:t>. The World Oral Health Report 2003: continouous improvement of oral in the 21 century - the approach of the  WHO Global Oral Health Programme. Community Dent Oral Epidemiol</w:t>
      </w:r>
      <w:r w:rsidRPr="00B70F98">
        <w:rPr>
          <w:rFonts w:ascii="Times New Roman" w:eastAsia="Times New Roman" w:hAnsi="Times New Roman" w:cs="Times New Roman"/>
          <w:color w:val="212121"/>
          <w:sz w:val="24"/>
          <w:szCs w:val="24"/>
        </w:rPr>
        <w:t>, v.31, Suppl 1, p.3-23, 2003.</w:t>
      </w:r>
    </w:p>
    <w:p w14:paraId="60D7C330"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5067ECFE" w14:textId="77777777" w:rsidR="00B70F98" w:rsidRPr="00B70F98"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ROSA, J.G. </w:t>
      </w:r>
      <w:r w:rsidRPr="00B70F98">
        <w:rPr>
          <w:rFonts w:ascii="Times New Roman" w:eastAsia="Times New Roman" w:hAnsi="Times New Roman" w:cs="Times New Roman"/>
          <w:b/>
          <w:color w:val="212121"/>
          <w:sz w:val="24"/>
          <w:szCs w:val="24"/>
        </w:rPr>
        <w:t>Trabalho e Qualidade de Vida dos Policiais que Atuam na Modalidade de Policiamento da Rádio Patrulha do 9º Batalhão de Polícia Militar de Criciúma/SC</w:t>
      </w:r>
      <w:r w:rsidRPr="00B70F98">
        <w:rPr>
          <w:rFonts w:ascii="Times New Roman" w:eastAsia="Times New Roman" w:hAnsi="Times New Roman" w:cs="Times New Roman"/>
          <w:color w:val="212121"/>
          <w:sz w:val="24"/>
          <w:szCs w:val="24"/>
        </w:rPr>
        <w:t xml:space="preserve"> (Trabalho de conclusão de curso ). Criciúma: Universidade do Extremo Sul Catarinense, 2012.</w:t>
      </w:r>
    </w:p>
    <w:p w14:paraId="3DFB9CF9" w14:textId="77777777" w:rsidR="00B70F98"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p>
    <w:p w14:paraId="78C1C7FB" w14:textId="77777777" w:rsidR="00593DBE" w:rsidRPr="000918D1" w:rsidRDefault="00B70F98" w:rsidP="0057047E">
      <w:pPr>
        <w:shd w:val="clear" w:color="auto" w:fill="FFFFFF"/>
        <w:spacing w:after="0" w:line="240" w:lineRule="auto"/>
        <w:ind w:firstLine="709"/>
        <w:textAlignment w:val="baseline"/>
        <w:rPr>
          <w:rFonts w:ascii="Times New Roman" w:eastAsia="Times New Roman" w:hAnsi="Times New Roman" w:cs="Times New Roman"/>
          <w:color w:val="212121"/>
          <w:sz w:val="24"/>
          <w:szCs w:val="24"/>
        </w:rPr>
      </w:pPr>
      <w:r w:rsidRPr="00B70F98">
        <w:rPr>
          <w:rFonts w:ascii="Times New Roman" w:eastAsia="Times New Roman" w:hAnsi="Times New Roman" w:cs="Times New Roman"/>
          <w:color w:val="212121"/>
          <w:sz w:val="24"/>
          <w:szCs w:val="24"/>
        </w:rPr>
        <w:t xml:space="preserve">VARGAS, C.M.; CRALL,J.J.; </w:t>
      </w:r>
      <w:r w:rsidRPr="00B70F98">
        <w:rPr>
          <w:rFonts w:ascii="Times New Roman" w:eastAsia="Times New Roman" w:hAnsi="Times New Roman" w:cs="Times New Roman"/>
          <w:b/>
          <w:color w:val="212121"/>
          <w:sz w:val="24"/>
          <w:szCs w:val="24"/>
        </w:rPr>
        <w:t>CSHNEIDER, D.A. Sociodemographic distribuition of pediatric dental caries: NHANES III, 1998-1994</w:t>
      </w:r>
      <w:r w:rsidRPr="00B70F98">
        <w:rPr>
          <w:rFonts w:ascii="Times New Roman" w:eastAsia="Times New Roman" w:hAnsi="Times New Roman" w:cs="Times New Roman"/>
          <w:color w:val="212121"/>
          <w:sz w:val="24"/>
          <w:szCs w:val="24"/>
        </w:rPr>
        <w:t>. J Am Dent Assoc</w:t>
      </w:r>
      <w:bookmarkEnd w:id="0"/>
      <w:r w:rsidRPr="00B70F98">
        <w:rPr>
          <w:rFonts w:ascii="Times New Roman" w:eastAsia="Times New Roman" w:hAnsi="Times New Roman" w:cs="Times New Roman"/>
          <w:color w:val="212121"/>
          <w:sz w:val="24"/>
          <w:szCs w:val="24"/>
        </w:rPr>
        <w:t>, v.129, p.1229-38,1998.</w:t>
      </w:r>
    </w:p>
    <w:sectPr w:rsidR="00593DBE" w:rsidRPr="000918D1" w:rsidSect="00D55BA3">
      <w:headerReference w:type="default" r:id="rId8"/>
      <w:pgSz w:w="11906" w:h="16838"/>
      <w:pgMar w:top="1134" w:right="1134"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69289B" w14:textId="77777777" w:rsidR="00D86A88" w:rsidRDefault="00D86A88" w:rsidP="00FA4B9E">
      <w:pPr>
        <w:spacing w:after="0" w:line="240" w:lineRule="auto"/>
      </w:pPr>
      <w:r>
        <w:separator/>
      </w:r>
    </w:p>
  </w:endnote>
  <w:endnote w:type="continuationSeparator" w:id="0">
    <w:p w14:paraId="715FFFE2" w14:textId="77777777" w:rsidR="00D86A88" w:rsidRDefault="00D86A88" w:rsidP="00FA4B9E">
      <w:pPr>
        <w:spacing w:after="0" w:line="240" w:lineRule="auto"/>
      </w:pPr>
      <w:r>
        <w:continuationSeparator/>
      </w:r>
    </w:p>
  </w:endnote>
  <w:endnote w:id="1">
    <w:p w14:paraId="412F16EA" w14:textId="77777777" w:rsidR="00D86A88" w:rsidRDefault="00D86A88" w:rsidP="00D86A88">
      <w:pPr>
        <w:widowControl w:val="0"/>
        <w:autoSpaceDE w:val="0"/>
        <w:autoSpaceDN w:val="0"/>
        <w:adjustRightInd w:val="0"/>
        <w:spacing w:after="0" w:line="0" w:lineRule="atLeast"/>
        <w:jc w:val="both"/>
        <w:rPr>
          <w:rFonts w:ascii="Times New Roman" w:hAnsi="Times New Roman" w:cs="Times New Roman"/>
          <w:sz w:val="18"/>
          <w:szCs w:val="18"/>
          <w:lang w:val="pt-PT"/>
        </w:rPr>
      </w:pPr>
      <w:r>
        <w:rPr>
          <w:rStyle w:val="Refdenotadefim"/>
        </w:rPr>
        <w:endnoteRef/>
      </w:r>
      <w:r>
        <w:t xml:space="preserve"> </w:t>
      </w:r>
      <w:r>
        <w:rPr>
          <w:rFonts w:ascii="Times New Roman" w:hAnsi="Times New Roman" w:cs="Times New Roman"/>
          <w:sz w:val="24"/>
          <w:szCs w:val="24"/>
          <w:lang w:val="pt-PT"/>
        </w:rPr>
        <w:t>¹</w:t>
      </w:r>
      <w:r>
        <w:rPr>
          <w:rFonts w:ascii="Times New Roman" w:hAnsi="Times New Roman" w:cs="Times New Roman"/>
          <w:sz w:val="18"/>
          <w:szCs w:val="18"/>
          <w:lang w:val="pt-PT"/>
        </w:rPr>
        <w:t>Aluno do Curso de Formação Policial, Turma Papa, 6ª Companhia, Academia da Polícia Militar de Goiás - CAPM, fiscalvalentin@yahoo.com;</w:t>
      </w:r>
    </w:p>
    <w:p w14:paraId="468ED60A" w14:textId="77777777" w:rsidR="00D86A88" w:rsidRPr="00D55BA3" w:rsidRDefault="00D86A88" w:rsidP="00D86A88">
      <w:pPr>
        <w:widowControl w:val="0"/>
        <w:autoSpaceDE w:val="0"/>
        <w:autoSpaceDN w:val="0"/>
        <w:adjustRightInd w:val="0"/>
        <w:spacing w:after="0" w:line="0" w:lineRule="atLeast"/>
        <w:jc w:val="both"/>
        <w:rPr>
          <w:rFonts w:ascii="Times New Roman" w:hAnsi="Times New Roman" w:cs="Times New Roman"/>
          <w:sz w:val="18"/>
          <w:szCs w:val="18"/>
          <w:lang w:val="pt-PT"/>
        </w:rPr>
      </w:pPr>
      <w:r>
        <w:rPr>
          <w:rFonts w:ascii="Times New Roman" w:hAnsi="Times New Roman" w:cs="Times New Roman"/>
          <w:sz w:val="24"/>
          <w:szCs w:val="24"/>
          <w:lang w:val="pt-PT"/>
        </w:rPr>
        <w:t xml:space="preserve">² </w:t>
      </w:r>
      <w:r>
        <w:rPr>
          <w:rFonts w:ascii="Times New Roman" w:hAnsi="Times New Roman" w:cs="Times New Roman"/>
          <w:sz w:val="18"/>
          <w:szCs w:val="18"/>
          <w:lang w:val="pt-PT"/>
        </w:rPr>
        <w:t>Professor(a) Orientador(a): 1º Ten. QOSPM. Talita Souza Dantas, Comando da Academia da Policia Militar de Goiás - CAPM, talitadantas_@hotmail.com, Goiânia - GO, Fevereiro de 2018.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B3A22" w14:textId="77777777" w:rsidR="00D86A88" w:rsidRDefault="00D86A88" w:rsidP="00FA4B9E">
      <w:pPr>
        <w:spacing w:after="0" w:line="240" w:lineRule="auto"/>
      </w:pPr>
      <w:r>
        <w:separator/>
      </w:r>
    </w:p>
  </w:footnote>
  <w:footnote w:type="continuationSeparator" w:id="0">
    <w:p w14:paraId="0F2DFFF1" w14:textId="77777777" w:rsidR="00D86A88" w:rsidRDefault="00D86A88" w:rsidP="00FA4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D9FCD" w14:textId="7879B5BE" w:rsidR="00D86A88" w:rsidRDefault="00D86A88">
    <w:pPr>
      <w:pStyle w:val="Cabealho"/>
      <w:jc w:val="right"/>
    </w:pPr>
  </w:p>
  <w:p w14:paraId="500821E9" w14:textId="77777777" w:rsidR="00D86A88" w:rsidRDefault="00D86A88">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6411038"/>
      <w:docPartObj>
        <w:docPartGallery w:val="Page Numbers (Top of Page)"/>
        <w:docPartUnique/>
      </w:docPartObj>
    </w:sdtPr>
    <w:sdtEndPr/>
    <w:sdtContent>
      <w:p w14:paraId="247849AD" w14:textId="206C47BD" w:rsidR="00D86A88" w:rsidRDefault="00D86A88">
        <w:pPr>
          <w:pStyle w:val="Cabealho"/>
          <w:jc w:val="right"/>
        </w:pPr>
        <w:r>
          <w:fldChar w:fldCharType="begin"/>
        </w:r>
        <w:r>
          <w:instrText>PAGE   \* MERGEFORMAT</w:instrText>
        </w:r>
        <w:r>
          <w:fldChar w:fldCharType="separate"/>
        </w:r>
        <w:r w:rsidR="0057047E">
          <w:rPr>
            <w:noProof/>
          </w:rPr>
          <w:t>11</w:t>
        </w:r>
        <w:r>
          <w:fldChar w:fldCharType="end"/>
        </w:r>
      </w:p>
    </w:sdtContent>
  </w:sdt>
  <w:p w14:paraId="35AF2CD1" w14:textId="77777777" w:rsidR="00D86A88" w:rsidRDefault="00D86A88">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FD3"/>
    <w:rsid w:val="0008614B"/>
    <w:rsid w:val="000918D1"/>
    <w:rsid w:val="000A3813"/>
    <w:rsid w:val="001837C5"/>
    <w:rsid w:val="001A12A0"/>
    <w:rsid w:val="00263BDB"/>
    <w:rsid w:val="00263D36"/>
    <w:rsid w:val="00290CFB"/>
    <w:rsid w:val="00396D1A"/>
    <w:rsid w:val="0057047E"/>
    <w:rsid w:val="00587210"/>
    <w:rsid w:val="00593DBE"/>
    <w:rsid w:val="005E7D0F"/>
    <w:rsid w:val="006D696D"/>
    <w:rsid w:val="009C16C8"/>
    <w:rsid w:val="00A51174"/>
    <w:rsid w:val="00B70F98"/>
    <w:rsid w:val="00B70FD3"/>
    <w:rsid w:val="00BF3174"/>
    <w:rsid w:val="00C619BE"/>
    <w:rsid w:val="00D55BA3"/>
    <w:rsid w:val="00D86A88"/>
    <w:rsid w:val="00E4387A"/>
    <w:rsid w:val="00FA4B9E"/>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0F17BB8"/>
  <w15:docId w15:val="{3E346B32-8A79-477F-A79C-1B066935F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r-formataoHTML">
    <w:name w:val="HTML Preformatted"/>
    <w:basedOn w:val="Normal"/>
    <w:link w:val="Pr-formataoHTMLChar"/>
    <w:uiPriority w:val="99"/>
    <w:semiHidden/>
    <w:unhideWhenUsed/>
    <w:rsid w:val="000A38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0A3813"/>
    <w:rPr>
      <w:rFonts w:ascii="Courier New" w:eastAsia="Times New Roman" w:hAnsi="Courier New" w:cs="Courier New"/>
      <w:sz w:val="20"/>
      <w:szCs w:val="20"/>
      <w:lang w:eastAsia="pt-BR"/>
    </w:rPr>
  </w:style>
  <w:style w:type="paragraph" w:styleId="Cabealho">
    <w:name w:val="header"/>
    <w:basedOn w:val="Normal"/>
    <w:link w:val="CabealhoChar"/>
    <w:uiPriority w:val="99"/>
    <w:unhideWhenUsed/>
    <w:rsid w:val="00FA4B9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A4B9E"/>
    <w:rPr>
      <w:rFonts w:eastAsiaTheme="minorEastAsia"/>
      <w:lang w:eastAsia="pt-BR"/>
    </w:rPr>
  </w:style>
  <w:style w:type="paragraph" w:styleId="Rodap">
    <w:name w:val="footer"/>
    <w:basedOn w:val="Normal"/>
    <w:link w:val="RodapChar"/>
    <w:uiPriority w:val="99"/>
    <w:unhideWhenUsed/>
    <w:rsid w:val="00FA4B9E"/>
    <w:pPr>
      <w:tabs>
        <w:tab w:val="center" w:pos="4252"/>
        <w:tab w:val="right" w:pos="8504"/>
      </w:tabs>
      <w:spacing w:after="0" w:line="240" w:lineRule="auto"/>
    </w:pPr>
  </w:style>
  <w:style w:type="character" w:customStyle="1" w:styleId="RodapChar">
    <w:name w:val="Rodapé Char"/>
    <w:basedOn w:val="Fontepargpadro"/>
    <w:link w:val="Rodap"/>
    <w:uiPriority w:val="99"/>
    <w:rsid w:val="00FA4B9E"/>
    <w:rPr>
      <w:rFonts w:eastAsiaTheme="minorEastAsia"/>
      <w:lang w:eastAsia="pt-BR"/>
    </w:rPr>
  </w:style>
  <w:style w:type="paragraph" w:styleId="Textodenotadefim">
    <w:name w:val="endnote text"/>
    <w:basedOn w:val="Normal"/>
    <w:link w:val="TextodenotadefimChar"/>
    <w:uiPriority w:val="99"/>
    <w:unhideWhenUsed/>
    <w:rsid w:val="00D55BA3"/>
    <w:pPr>
      <w:spacing w:after="0" w:line="240" w:lineRule="auto"/>
    </w:pPr>
    <w:rPr>
      <w:sz w:val="24"/>
      <w:szCs w:val="24"/>
    </w:rPr>
  </w:style>
  <w:style w:type="character" w:customStyle="1" w:styleId="TextodenotadefimChar">
    <w:name w:val="Texto de nota de fim Char"/>
    <w:basedOn w:val="Fontepargpadro"/>
    <w:link w:val="Textodenotadefim"/>
    <w:uiPriority w:val="99"/>
    <w:rsid w:val="00D55BA3"/>
    <w:rPr>
      <w:sz w:val="24"/>
      <w:szCs w:val="24"/>
    </w:rPr>
  </w:style>
  <w:style w:type="character" w:styleId="Refdenotadefim">
    <w:name w:val="endnote reference"/>
    <w:basedOn w:val="Fontepargpadro"/>
    <w:uiPriority w:val="99"/>
    <w:unhideWhenUsed/>
    <w:rsid w:val="00D55B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79260">
      <w:bodyDiv w:val="1"/>
      <w:marLeft w:val="0"/>
      <w:marRight w:val="0"/>
      <w:marTop w:val="0"/>
      <w:marBottom w:val="0"/>
      <w:divBdr>
        <w:top w:val="none" w:sz="0" w:space="0" w:color="auto"/>
        <w:left w:val="none" w:sz="0" w:space="0" w:color="auto"/>
        <w:bottom w:val="none" w:sz="0" w:space="0" w:color="auto"/>
        <w:right w:val="none" w:sz="0" w:space="0" w:color="auto"/>
      </w:divBdr>
      <w:divsChild>
        <w:div w:id="1405689908">
          <w:marLeft w:val="0"/>
          <w:marRight w:val="0"/>
          <w:marTop w:val="0"/>
          <w:marBottom w:val="0"/>
          <w:divBdr>
            <w:top w:val="none" w:sz="0" w:space="0" w:color="auto"/>
            <w:left w:val="none" w:sz="0" w:space="0" w:color="auto"/>
            <w:bottom w:val="none" w:sz="0" w:space="0" w:color="auto"/>
            <w:right w:val="none" w:sz="0" w:space="0" w:color="auto"/>
          </w:divBdr>
        </w:div>
        <w:div w:id="1810172292">
          <w:marLeft w:val="0"/>
          <w:marRight w:val="0"/>
          <w:marTop w:val="0"/>
          <w:marBottom w:val="0"/>
          <w:divBdr>
            <w:top w:val="none" w:sz="0" w:space="0" w:color="auto"/>
            <w:left w:val="none" w:sz="0" w:space="0" w:color="auto"/>
            <w:bottom w:val="none" w:sz="0" w:space="0" w:color="auto"/>
            <w:right w:val="none" w:sz="0" w:space="0" w:color="auto"/>
          </w:divBdr>
        </w:div>
      </w:divsChild>
    </w:div>
    <w:div w:id="481124005">
      <w:bodyDiv w:val="1"/>
      <w:marLeft w:val="0"/>
      <w:marRight w:val="0"/>
      <w:marTop w:val="0"/>
      <w:marBottom w:val="0"/>
      <w:divBdr>
        <w:top w:val="none" w:sz="0" w:space="0" w:color="auto"/>
        <w:left w:val="none" w:sz="0" w:space="0" w:color="auto"/>
        <w:bottom w:val="none" w:sz="0" w:space="0" w:color="auto"/>
        <w:right w:val="none" w:sz="0" w:space="0" w:color="auto"/>
      </w:divBdr>
      <w:divsChild>
        <w:div w:id="551189225">
          <w:marLeft w:val="0"/>
          <w:marRight w:val="0"/>
          <w:marTop w:val="0"/>
          <w:marBottom w:val="0"/>
          <w:divBdr>
            <w:top w:val="none" w:sz="0" w:space="0" w:color="auto"/>
            <w:left w:val="none" w:sz="0" w:space="0" w:color="auto"/>
            <w:bottom w:val="none" w:sz="0" w:space="0" w:color="auto"/>
            <w:right w:val="none" w:sz="0" w:space="0" w:color="auto"/>
          </w:divBdr>
        </w:div>
        <w:div w:id="1506818169">
          <w:marLeft w:val="0"/>
          <w:marRight w:val="0"/>
          <w:marTop w:val="0"/>
          <w:marBottom w:val="0"/>
          <w:divBdr>
            <w:top w:val="none" w:sz="0" w:space="0" w:color="auto"/>
            <w:left w:val="none" w:sz="0" w:space="0" w:color="auto"/>
            <w:bottom w:val="none" w:sz="0" w:space="0" w:color="auto"/>
            <w:right w:val="none" w:sz="0" w:space="0" w:color="auto"/>
          </w:divBdr>
        </w:div>
      </w:divsChild>
    </w:div>
    <w:div w:id="764039235">
      <w:bodyDiv w:val="1"/>
      <w:marLeft w:val="0"/>
      <w:marRight w:val="0"/>
      <w:marTop w:val="0"/>
      <w:marBottom w:val="0"/>
      <w:divBdr>
        <w:top w:val="none" w:sz="0" w:space="0" w:color="auto"/>
        <w:left w:val="none" w:sz="0" w:space="0" w:color="auto"/>
        <w:bottom w:val="none" w:sz="0" w:space="0" w:color="auto"/>
        <w:right w:val="none" w:sz="0" w:space="0" w:color="auto"/>
      </w:divBdr>
    </w:div>
    <w:div w:id="842934663">
      <w:bodyDiv w:val="1"/>
      <w:marLeft w:val="0"/>
      <w:marRight w:val="0"/>
      <w:marTop w:val="0"/>
      <w:marBottom w:val="0"/>
      <w:divBdr>
        <w:top w:val="none" w:sz="0" w:space="0" w:color="auto"/>
        <w:left w:val="none" w:sz="0" w:space="0" w:color="auto"/>
        <w:bottom w:val="none" w:sz="0" w:space="0" w:color="auto"/>
        <w:right w:val="none" w:sz="0" w:space="0" w:color="auto"/>
      </w:divBdr>
      <w:divsChild>
        <w:div w:id="576129315">
          <w:marLeft w:val="0"/>
          <w:marRight w:val="0"/>
          <w:marTop w:val="0"/>
          <w:marBottom w:val="0"/>
          <w:divBdr>
            <w:top w:val="none" w:sz="0" w:space="0" w:color="auto"/>
            <w:left w:val="none" w:sz="0" w:space="0" w:color="auto"/>
            <w:bottom w:val="none" w:sz="0" w:space="0" w:color="auto"/>
            <w:right w:val="none" w:sz="0" w:space="0" w:color="auto"/>
          </w:divBdr>
        </w:div>
        <w:div w:id="8065924">
          <w:marLeft w:val="0"/>
          <w:marRight w:val="0"/>
          <w:marTop w:val="0"/>
          <w:marBottom w:val="0"/>
          <w:divBdr>
            <w:top w:val="none" w:sz="0" w:space="0" w:color="auto"/>
            <w:left w:val="none" w:sz="0" w:space="0" w:color="auto"/>
            <w:bottom w:val="none" w:sz="0" w:space="0" w:color="auto"/>
            <w:right w:val="none" w:sz="0" w:space="0" w:color="auto"/>
          </w:divBdr>
        </w:div>
        <w:div w:id="1283002868">
          <w:marLeft w:val="0"/>
          <w:marRight w:val="0"/>
          <w:marTop w:val="0"/>
          <w:marBottom w:val="0"/>
          <w:divBdr>
            <w:top w:val="none" w:sz="0" w:space="0" w:color="auto"/>
            <w:left w:val="none" w:sz="0" w:space="0" w:color="auto"/>
            <w:bottom w:val="none" w:sz="0" w:space="0" w:color="auto"/>
            <w:right w:val="none" w:sz="0" w:space="0" w:color="auto"/>
          </w:divBdr>
        </w:div>
        <w:div w:id="1016081291">
          <w:marLeft w:val="0"/>
          <w:marRight w:val="0"/>
          <w:marTop w:val="0"/>
          <w:marBottom w:val="0"/>
          <w:divBdr>
            <w:top w:val="none" w:sz="0" w:space="0" w:color="auto"/>
            <w:left w:val="none" w:sz="0" w:space="0" w:color="auto"/>
            <w:bottom w:val="none" w:sz="0" w:space="0" w:color="auto"/>
            <w:right w:val="none" w:sz="0" w:space="0" w:color="auto"/>
          </w:divBdr>
        </w:div>
        <w:div w:id="59058017">
          <w:marLeft w:val="0"/>
          <w:marRight w:val="0"/>
          <w:marTop w:val="0"/>
          <w:marBottom w:val="0"/>
          <w:divBdr>
            <w:top w:val="none" w:sz="0" w:space="0" w:color="auto"/>
            <w:left w:val="none" w:sz="0" w:space="0" w:color="auto"/>
            <w:bottom w:val="none" w:sz="0" w:space="0" w:color="auto"/>
            <w:right w:val="none" w:sz="0" w:space="0" w:color="auto"/>
          </w:divBdr>
        </w:div>
        <w:div w:id="1270504107">
          <w:marLeft w:val="0"/>
          <w:marRight w:val="0"/>
          <w:marTop w:val="0"/>
          <w:marBottom w:val="0"/>
          <w:divBdr>
            <w:top w:val="none" w:sz="0" w:space="0" w:color="auto"/>
            <w:left w:val="none" w:sz="0" w:space="0" w:color="auto"/>
            <w:bottom w:val="none" w:sz="0" w:space="0" w:color="auto"/>
            <w:right w:val="none" w:sz="0" w:space="0" w:color="auto"/>
          </w:divBdr>
        </w:div>
        <w:div w:id="1901554530">
          <w:marLeft w:val="0"/>
          <w:marRight w:val="0"/>
          <w:marTop w:val="0"/>
          <w:marBottom w:val="0"/>
          <w:divBdr>
            <w:top w:val="none" w:sz="0" w:space="0" w:color="auto"/>
            <w:left w:val="none" w:sz="0" w:space="0" w:color="auto"/>
            <w:bottom w:val="none" w:sz="0" w:space="0" w:color="auto"/>
            <w:right w:val="none" w:sz="0" w:space="0" w:color="auto"/>
          </w:divBdr>
        </w:div>
        <w:div w:id="701170365">
          <w:marLeft w:val="0"/>
          <w:marRight w:val="0"/>
          <w:marTop w:val="0"/>
          <w:marBottom w:val="0"/>
          <w:divBdr>
            <w:top w:val="none" w:sz="0" w:space="0" w:color="auto"/>
            <w:left w:val="none" w:sz="0" w:space="0" w:color="auto"/>
            <w:bottom w:val="none" w:sz="0" w:space="0" w:color="auto"/>
            <w:right w:val="none" w:sz="0" w:space="0" w:color="auto"/>
          </w:divBdr>
        </w:div>
        <w:div w:id="470027113">
          <w:marLeft w:val="0"/>
          <w:marRight w:val="0"/>
          <w:marTop w:val="0"/>
          <w:marBottom w:val="0"/>
          <w:divBdr>
            <w:top w:val="none" w:sz="0" w:space="0" w:color="auto"/>
            <w:left w:val="none" w:sz="0" w:space="0" w:color="auto"/>
            <w:bottom w:val="none" w:sz="0" w:space="0" w:color="auto"/>
            <w:right w:val="none" w:sz="0" w:space="0" w:color="auto"/>
          </w:divBdr>
        </w:div>
        <w:div w:id="1244954115">
          <w:marLeft w:val="0"/>
          <w:marRight w:val="0"/>
          <w:marTop w:val="0"/>
          <w:marBottom w:val="0"/>
          <w:divBdr>
            <w:top w:val="none" w:sz="0" w:space="0" w:color="auto"/>
            <w:left w:val="none" w:sz="0" w:space="0" w:color="auto"/>
            <w:bottom w:val="none" w:sz="0" w:space="0" w:color="auto"/>
            <w:right w:val="none" w:sz="0" w:space="0" w:color="auto"/>
          </w:divBdr>
        </w:div>
        <w:div w:id="18850973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99AF0-61CC-4FE8-AD40-F16AA85D3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4309</Words>
  <Characters>23271</Characters>
  <Application>Microsoft Office Word</Application>
  <DocSecurity>0</DocSecurity>
  <Lines>193</Lines>
  <Paragraphs>55</Paragraphs>
  <ScaleCrop>false</ScaleCrop>
  <HeadingPairs>
    <vt:vector size="2" baseType="variant">
      <vt:variant>
        <vt:lpstr>Título</vt:lpstr>
      </vt:variant>
      <vt:variant>
        <vt:i4>1</vt:i4>
      </vt:variant>
    </vt:vector>
  </HeadingPairs>
  <TitlesOfParts>
    <vt:vector size="1" baseType="lpstr">
      <vt:lpstr/>
    </vt:vector>
  </TitlesOfParts>
  <Company>NET WORLD INFORMÁTICA</Company>
  <LinksUpToDate>false</LinksUpToDate>
  <CharactersWithSpaces>27525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PC-14</dc:creator>
  <cp:lastModifiedBy>Wesley Araujo Marmo Fabiano</cp:lastModifiedBy>
  <cp:revision>2</cp:revision>
  <dcterms:created xsi:type="dcterms:W3CDTF">2018-11-20T13:00:00Z</dcterms:created>
  <dcterms:modified xsi:type="dcterms:W3CDTF">2018-11-20T13:00:00Z</dcterms:modified>
</cp:coreProperties>
</file>